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FIGURE LEGENDS</w:t>
      </w:r>
    </w:p>
    <w:p>
      <w:pPr>
        <w:spacing w:line="360" w:lineRule="auto"/>
      </w:pPr>
      <w:r>
        <w:rPr>
          <w:rFonts w:ascii="Times New Roman" w:hAnsi="Times New Roman"/>
          <w:b/>
          <w:sz w:val="24"/>
        </w:rPr>
        <w:t xml:space="preserve">Figure 1. </w:t>
      </w:r>
      <w:r>
        <w:rPr>
          <w:rFonts w:ascii="Times New Roman" w:hAnsi="Times New Roman"/>
          <w:sz w:val="24"/>
        </w:rPr>
        <w:t>PRISMA 2020 flowchart illustrating the systematic literature search and selection process. The primary Scopus search identified 1,327 initial records published between 2016 and 2024, which were sequentially filtered by subject area, document type, language, keyword relevance, and open-access availability, yielding 45 articles from the primary search window. An additional 15 post-window articles published in 2025–2026 were captured at the June 2026 search date, and 4 supplementary studies were included for quantitative synthesis only. The final review dataset therefore comprised 64 articles.</w:t>
      </w:r>
    </w:p>
    <w:p>
      <w:pPr>
        <w:spacing w:line="360" w:lineRule="auto"/>
      </w:pPr>
      <w:r>
        <w:rPr>
          <w:rFonts w:ascii="Times New Roman" w:hAnsi="Times New Roman"/>
          <w:b/>
          <w:sz w:val="24"/>
        </w:rPr>
        <w:t xml:space="preserve">Figure 2. </w:t>
      </w:r>
      <w:r>
        <w:rPr>
          <w:rFonts w:ascii="Times New Roman" w:hAnsi="Times New Roman"/>
          <w:sz w:val="24"/>
        </w:rPr>
        <w:t>Annual publication volume of articles included in this systematic review (N = 64), 2013–2026. Blue bars = primary Scopus search (2016–2024, n = 45 articles); orange bars = post-window articles captured at the search date (June 2026, n = 15); green bars = supplementary studies included for quantitative synthesis only (n = 4: Spilmont et al., 2013; Spilmont et al., 2015; Kang et al., 2017; Dong et al., 2024). The dashed trendline represents the exponential growth trajectory (CAGR ≈ 27.5%, calculated for 2016–2024). Note: 2026 data are partial (search cutoff: June 2026). CAGR = compound annual growth rate.</w:t>
      </w:r>
    </w:p>
    <w:p>
      <w:pPr>
        <w:spacing w:line="360" w:lineRule="auto"/>
      </w:pPr>
      <w:r>
        <w:rPr>
          <w:rFonts w:ascii="Times New Roman" w:hAnsi="Times New Roman"/>
          <w:b/>
          <w:sz w:val="24"/>
        </w:rPr>
        <w:t xml:space="preserve">Figure 3. </w:t>
      </w:r>
      <w:r>
        <w:rPr>
          <w:rFonts w:ascii="Times New Roman" w:hAnsi="Times New Roman"/>
          <w:sz w:val="24"/>
        </w:rPr>
        <w:t>Distribution of the 1,327 initial Scopus records by subject area prior to filtering (Scopus Analytics, June 2026). Medicine dominates the corpus (41.4%), followed by Biochemistry, Genetics and Molecular Biology (15.1%) and Pharmacology, Toxicology and Pharmaceutics (11.8%). The three leading biomedical domains collectively account for 68.3% of records, confirming the biomedical relevance of the search query and justifying the Medicine subject area filter applied at Stage 2 of the selection process.</w:t>
      </w:r>
    </w:p>
    <w:p>
      <w:pPr>
        <w:spacing w:line="360" w:lineRule="auto"/>
      </w:pPr>
      <w:r>
        <w:rPr>
          <w:rFonts w:ascii="Times New Roman" w:hAnsi="Times New Roman"/>
          <w:b/>
          <w:sz w:val="24"/>
        </w:rPr>
        <w:t xml:space="preserve">Figure 4. </w:t>
      </w:r>
      <w:r>
        <w:rPr>
          <w:rFonts w:ascii="Times New Roman" w:hAnsi="Times New Roman"/>
          <w:sz w:val="24"/>
        </w:rPr>
        <w:t>VOSviewer country co-authorship network of the 64 included articles (minimum: 1 document per country; n = 10 countries). Node size reflects the number of publications per country; link thickness indicates co-authorship frequency. Three clusters are identified: blue (Southeast Asia: Indonesia, Japan, Malaysia), red (East Asia/Europe: China, Italy, Spain, Canada), and green (North America/South Asia: United States, India, United Kingdom). Indonesia and China are the two dominant research hubs in this domain.</w:t>
      </w:r>
    </w:p>
    <w:p>
      <w:pPr>
        <w:spacing w:line="360" w:lineRule="auto"/>
      </w:pPr>
      <w:r>
        <w:rPr>
          <w:rFonts w:ascii="Times New Roman" w:hAnsi="Times New Roman"/>
          <w:b/>
          <w:sz w:val="24"/>
        </w:rPr>
        <w:t xml:space="preserve">Figure 5. </w:t>
      </w:r>
      <w:r>
        <w:rPr>
          <w:rFonts w:ascii="Times New Roman" w:hAnsi="Times New Roman"/>
          <w:sz w:val="24"/>
        </w:rPr>
        <w:t>VOSviewer keyword co-occurrence network derived from all 1,327 initial Scopus records (pre-screening; minimum keyword occurrence ≥2; n = 312 keywords, 4 clusters). Node size = keyword occurrence frequency; link thickness = co-occurrence strength. Cluster 1 (red) = bone cell biology and RANKL/OPG signaling; Cluster 2 (green) = oxidative stress and antioxidant pathways; Cluster 3 (blue) = clinical/pharmaceutical and orthodontic context; Cluster 4 (yellow) = natural compound pharmacology. Note: 'orthodontic tooth movement' and 'relapse' occupy peripheral positions relative to pomegranate-specific keywords, providing bibliometric confirmation of the primary research gap identified in this review.</w:t>
      </w:r>
    </w:p>
    <w:p>
      <w:pPr>
        <w:spacing w:line="360" w:lineRule="auto"/>
      </w:pPr>
      <w:r>
        <w:rPr>
          <w:rFonts w:ascii="Times New Roman" w:hAnsi="Times New Roman"/>
          <w:b/>
          <w:sz w:val="24"/>
        </w:rPr>
        <w:t xml:space="preserve">Figure 6. </w:t>
      </w:r>
      <w:r>
        <w:rPr>
          <w:rFonts w:ascii="Times New Roman" w:hAnsi="Times New Roman"/>
          <w:sz w:val="24"/>
        </w:rPr>
        <w:t>Forest plot of the pooled standardized mean difference (SMD; Hedges' g) for bone mineral density (BMD) and bone volume outcomes from studies examining pomegranate-derived polyphenols versus ovariectomized (OVX) control animals (n = 4 studies). Squares represent individual study effect estimates, with square size proportional to study weight; horizontal lines represent 95% confidence intervals. The diamond represents the pooled random-effects estimate using the DerSimonian-Laird method: SMD = 1.52, 95% CI [0.96, 2.08], I² = 7.6%, p &lt; 0.001. A positive SMD indicates greater bone density or bone volume in the polyphenol-treated group compared with OVX controls. The pooled estimate should be interpreted cautiously because only four studies were eligible for quantitative synthesis and outcome measurement methods varied across studies. Abbreviations: PGPE = pomegranate peel extract; PCS = pomegranate concentrated solution; EA = ellagic acid; OVX = ovariectomized; μCT = micro-computed tomography; DXA = dual-energy X-ray absorptiometry.</w:t>
      </w:r>
    </w:p>
    <w:p>
      <w:pPr>
        <w:spacing w:line="360" w:lineRule="auto"/>
      </w:pPr>
      <w:r>
        <w:rPr>
          <w:rFonts w:ascii="Times New Roman" w:hAnsi="Times New Roman"/>
          <w:b/>
          <w:sz w:val="24"/>
        </w:rPr>
        <w:t xml:space="preserve">Figure 7. </w:t>
      </w:r>
      <w:r>
        <w:rPr>
          <w:rFonts w:ascii="Times New Roman" w:hAnsi="Times New Roman"/>
          <w:sz w:val="24"/>
        </w:rPr>
        <w:t>Funnel plot of standard error (SE) against standardized mean difference (SMD; Hedges' g) for the four studies included in the BMD and bone volume meta-analysis. The dashed lines demarcate the 95% pseudo-confidence interval funnel centered on the pooled SMD (1.52; vertical solid line). Each circle represents one included study. Slight asymmetry may reflect small-study effects, variation in compound type and dose, or genuine methodological heterogeneity. Formal statistical assessment of publication bias, including Egger's test or trim-and-fill analysis, was not performed because fewer than 10 studies were available; therefore, visual inspection is provided only as a qualitative indicator. Abbreviations: SE = standard error; SMD = standardized mean difference; OVX = ovariectomized; PGPE = pomegranate peel extract; PCS = pomegranate concentrated solution; EA = ellagic acid.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