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75AF" w14:textId="77777777" w:rsidR="00877D74" w:rsidRDefault="00877D74" w:rsidP="00877D74">
      <w:pPr>
        <w:spacing w:before="60" w:after="120"/>
        <w:ind w:left="720" w:hanging="720"/>
        <w:jc w:val="both"/>
        <w:rPr>
          <w:b/>
          <w:bCs/>
          <w:sz w:val="24"/>
          <w:szCs w:val="24"/>
        </w:rPr>
      </w:pPr>
      <w:r w:rsidRPr="00362531">
        <w:rPr>
          <w:b/>
          <w:bCs/>
          <w:sz w:val="24"/>
          <w:szCs w:val="24"/>
        </w:rPr>
        <w:t>TABLES</w:t>
      </w:r>
    </w:p>
    <w:p w14:paraId="66D5AF89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t xml:space="preserve">Table </w:t>
      </w:r>
      <w:r>
        <w:rPr>
          <w:sz w:val="24"/>
          <w:szCs w:val="24"/>
        </w:rPr>
        <w:t>1</w:t>
      </w:r>
      <w:r w:rsidRPr="00C20088">
        <w:rPr>
          <w:sz w:val="24"/>
          <w:szCs w:val="24"/>
        </w:rPr>
        <w:t>. Characteristics of studies included in the evidence synthesis and meta-analysis.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307"/>
        <w:gridCol w:w="1207"/>
        <w:gridCol w:w="553"/>
        <w:gridCol w:w="1609"/>
        <w:gridCol w:w="1760"/>
        <w:gridCol w:w="704"/>
        <w:gridCol w:w="553"/>
      </w:tblGrid>
      <w:tr w:rsidR="00877D74" w:rsidRPr="00C20088" w14:paraId="1427093D" w14:textId="77777777" w:rsidTr="00CD7530">
        <w:tc>
          <w:tcPr>
            <w:tcW w:w="1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097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F26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Design / Model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C4F7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Compound &amp; Dose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FB18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n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868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Primary Outcome</w:t>
            </w:r>
          </w:p>
        </w:tc>
        <w:tc>
          <w:tcPr>
            <w:tcW w:w="1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0B50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Key Finding</w:t>
            </w:r>
          </w:p>
        </w:tc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A6A0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Quality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023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Section</w:t>
            </w:r>
          </w:p>
        </w:tc>
      </w:tr>
      <w:tr w:rsidR="00877D74" w:rsidRPr="00C20088" w14:paraId="543943B1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312B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Wardhana</w:t>
            </w:r>
            <w:proofErr w:type="spellEnd"/>
            <w:r w:rsidRPr="00C20088">
              <w:rPr>
                <w:sz w:val="18"/>
                <w:szCs w:val="18"/>
              </w:rPr>
              <w:t xml:space="preserve"> et al.,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-437988321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[13]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077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femur defect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B5E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acid–hydroxyapatite (EA-HA) implant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FA5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5/group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C7E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OPG, RANKL, osteoblast/osteoclast count (IHC)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C84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EA-HA: ↑ OPG, ↑ osteoblasts, ↓ RANKL, ↓ osteoclasts (p=0.000)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EE7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E8B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02DE631A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B245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Primasari</w:t>
            </w:r>
            <w:proofErr w:type="spellEnd"/>
            <w:r w:rsidRPr="00C20088">
              <w:rPr>
                <w:sz w:val="18"/>
                <w:szCs w:val="18"/>
              </w:rPr>
              <w:t xml:space="preserve"> et al., 2022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58888688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[14]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DA2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femur defect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093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acid–hydroxyapatite (EA-HA) implant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921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5/group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A01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TNF-α, IL-10, BMP-4, </w:t>
            </w:r>
            <w:proofErr w:type="spellStart"/>
            <w:r w:rsidRPr="00C20088">
              <w:rPr>
                <w:sz w:val="18"/>
                <w:szCs w:val="18"/>
              </w:rPr>
              <w:t>osteopontin</w:t>
            </w:r>
            <w:proofErr w:type="spellEnd"/>
            <w:r w:rsidRPr="00C20088">
              <w:rPr>
                <w:sz w:val="18"/>
                <w:szCs w:val="18"/>
              </w:rPr>
              <w:t xml:space="preserve"> (IHC)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F46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EA-HA: ↓ TNF-α, ↑ IL-10, ↑ BMP-4, ↑ OPN (p&lt;0.05)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60C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47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59758268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868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Burhan et al., 2018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665557553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[16]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D2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vitro   ELISA protein reactivity assay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2BD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P. granatum polyphenol fractions (butanol, ethyl acetate, hexane)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BA2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95A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Reactivity to BMP-2, osteocalcin, collagen type-1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056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Butanol fraction: highest BMP-2 &amp; collagen-1 reactivity (r=0.8, 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494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9CB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1E76EC4F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ACE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Öngöz</w:t>
            </w:r>
            <w:proofErr w:type="spellEnd"/>
            <w:r w:rsidRPr="00C20088">
              <w:rPr>
                <w:sz w:val="18"/>
                <w:szCs w:val="18"/>
              </w:rPr>
              <w:t xml:space="preserve"> Dede et al.,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438561754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[23]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84B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ligature periodontitis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50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15 mg/kg/day × 14 days (gavage)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8CA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C6B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Alveolar bone loss, MPO, GSH, IL-6, TNF-α, IL-10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411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EA: ↓ ABL, ↓ MPO, ↑ GSH, ↓ IL-6, ↓ TNF-α, ↑ IL-10 (p&lt;0.001)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8CF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A0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27EF1DB5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54A3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Saputera</w:t>
            </w:r>
            <w:proofErr w:type="spellEnd"/>
            <w:r w:rsidRPr="00C20088">
              <w:rPr>
                <w:sz w:val="18"/>
                <w:szCs w:val="18"/>
              </w:rPr>
              <w:t xml:space="preserve"> et al., 2020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1831783599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[15]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C50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silico   molecular docking (</w:t>
            </w:r>
            <w:proofErr w:type="spellStart"/>
            <w:r w:rsidRPr="00C20088">
              <w:rPr>
                <w:sz w:val="18"/>
                <w:szCs w:val="18"/>
              </w:rPr>
              <w:t>PyRx</w:t>
            </w:r>
            <w:proofErr w:type="spellEnd"/>
            <w:r w:rsidRPr="00C20088">
              <w:rPr>
                <w:sz w:val="18"/>
                <w:szCs w:val="18"/>
              </w:rPr>
              <w:t xml:space="preserve"> v0.9.5)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B41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(computational)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399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12A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Binding affinity to TLR2 and TLR4 (</w:t>
            </w:r>
            <w:proofErr w:type="spellStart"/>
            <w:r w:rsidRPr="00C20088">
              <w:rPr>
                <w:sz w:val="18"/>
                <w:szCs w:val="18"/>
              </w:rPr>
              <w:t>Pa</w:t>
            </w:r>
            <w:proofErr w:type="spellEnd"/>
            <w:r w:rsidRPr="00C20088">
              <w:rPr>
                <w:sz w:val="18"/>
                <w:szCs w:val="18"/>
              </w:rPr>
              <w:t xml:space="preserve"> value)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699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EA: Pa=0.749 (anti-inflammatory); strong TLR2 binding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507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Low–Moderate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304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39A4546C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7868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Edrizal</w:t>
            </w:r>
            <w:proofErr w:type="spellEnd"/>
            <w:r w:rsidRPr="00C20088">
              <w:rPr>
                <w:sz w:val="18"/>
                <w:szCs w:val="18"/>
              </w:rPr>
              <w:t xml:space="preserve"> et al., 2020 [31]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4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New Zealand White rabbits; orthodontic OTM model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0D1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P. granatum butanol hydrogel 125, 175, 250 mg/ml (subgingival)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ED1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24 (6/group)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8A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Osteoblast histoscore, osteoclast histoscore, collagen </w:t>
            </w:r>
            <w:proofErr w:type="spellStart"/>
            <w:r w:rsidRPr="00C20088">
              <w:rPr>
                <w:sz w:val="18"/>
                <w:szCs w:val="18"/>
              </w:rPr>
              <w:t>fibre</w:t>
            </w:r>
            <w:proofErr w:type="spellEnd"/>
            <w:r w:rsidRPr="00C20088">
              <w:rPr>
                <w:sz w:val="18"/>
                <w:szCs w:val="18"/>
              </w:rPr>
              <w:t>, osteocyte (histopathology)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5A5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PG butanol hydrogel: ↑ osteoblast (125 &amp; 250 mg/ml, p&lt;0.05, r=0.6); ↑ osteoclast (175 mg/ml); ↑ collagen </w:t>
            </w:r>
            <w:proofErr w:type="spellStart"/>
            <w:r w:rsidRPr="00C20088">
              <w:rPr>
                <w:sz w:val="18"/>
                <w:szCs w:val="18"/>
              </w:rPr>
              <w:t>fibres</w:t>
            </w:r>
            <w:proofErr w:type="spellEnd"/>
            <w:r w:rsidRPr="00C20088">
              <w:rPr>
                <w:sz w:val="18"/>
                <w:szCs w:val="18"/>
              </w:rPr>
              <w:t>; ↑ bone compactness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844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C5B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36FD33AE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786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135881072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874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OVX C57BL/6J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2E1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Pomegranate seed oil (PSO) 5% diet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1CC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CDA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BMD (DXA, mg/cm³), trabecular micro-CT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3DF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PSO: BMD 240.24±11.85 vs 203.04±34.19 mg/cm³ (significant)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16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5B3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69E73D70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5BA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19346372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D28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+ ex vivo   OVX C57BL/6J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6BB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 10 mg polyphenols/kg/day × 30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85C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060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BMD (micro-CT), BV/TV, </w:t>
            </w:r>
            <w:proofErr w:type="spellStart"/>
            <w:r w:rsidRPr="00C20088">
              <w:rPr>
                <w:sz w:val="18"/>
                <w:szCs w:val="18"/>
              </w:rPr>
              <w:t>TbN</w:t>
            </w:r>
            <w:proofErr w:type="spellEnd"/>
            <w:r w:rsidRPr="00C20088">
              <w:rPr>
                <w:sz w:val="18"/>
                <w:szCs w:val="18"/>
              </w:rPr>
              <w:t xml:space="preserve">, </w:t>
            </w:r>
            <w:proofErr w:type="spellStart"/>
            <w:r w:rsidRPr="00C20088">
              <w:rPr>
                <w:sz w:val="18"/>
                <w:szCs w:val="18"/>
              </w:rPr>
              <w:t>TbSP</w:t>
            </w:r>
            <w:proofErr w:type="spellEnd"/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CB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PGPE: +31.9% BMD vs OVX control (p&lt;0.001)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225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EB8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3A43B0E2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DAE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et al.,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94820606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113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In vivo   OVX female </w:t>
            </w:r>
            <w:proofErr w:type="spellStart"/>
            <w:r w:rsidRPr="00C20088">
              <w:rPr>
                <w:sz w:val="18"/>
                <w:szCs w:val="18"/>
              </w:rPr>
              <w:t>ddY</w:t>
            </w:r>
            <w:proofErr w:type="spellEnd"/>
            <w:r w:rsidRPr="00C20088">
              <w:rPr>
                <w:sz w:val="18"/>
                <w:szCs w:val="18"/>
              </w:rPr>
              <w:t xml:space="preserve">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D07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PCS 1, 2, 4 ml/kg/day × 84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E6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3F8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Total body + femur BMD (DXA), histomorphometry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18C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Femur BMD +7.12% vs OVX (P&lt;0.01)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78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01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1F3AE26F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B0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lastRenderedPageBreak/>
              <w:t xml:space="preserve">Dong et al.,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-103141558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07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+ in vitro   OVX mice + BMSC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30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10 &amp; 50 mg/kg/day (oral)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E88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8DD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Bone mass (micro-CT), Runx2, ALP, OCN, OPN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E1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 50 mg/kg: significantly higher bone mass; ↑ Runx2, ALP, OCN via SMAD2/3 (p&lt;0.05)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747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DB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</w:tbl>
    <w:p w14:paraId="310D85D5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t xml:space="preserve">ABL = alveolar bone loss; BMD = bone mineral density; BV/TV = bone volume fraction; DXA = dual-energy X-ray absorptiometry; IHC = immunohistochemistry; MPO = myeloperoxidase; OVX = ovariectomized; Pa = probability of activity; PGPE = pomegranate peel extract; PCS = pomegranate concentrated solution; PSO = pomegranate seed oil; </w:t>
      </w:r>
      <w:proofErr w:type="spellStart"/>
      <w:r w:rsidRPr="00C20088">
        <w:rPr>
          <w:sz w:val="24"/>
          <w:szCs w:val="24"/>
        </w:rPr>
        <w:t>TbN</w:t>
      </w:r>
      <w:proofErr w:type="spellEnd"/>
      <w:r w:rsidRPr="00C20088">
        <w:rPr>
          <w:sz w:val="24"/>
          <w:szCs w:val="24"/>
        </w:rPr>
        <w:t xml:space="preserve"> = trabecular number; </w:t>
      </w:r>
      <w:proofErr w:type="spellStart"/>
      <w:r w:rsidRPr="00C20088">
        <w:rPr>
          <w:sz w:val="24"/>
          <w:szCs w:val="24"/>
        </w:rPr>
        <w:t>TbSP</w:t>
      </w:r>
      <w:proofErr w:type="spellEnd"/>
      <w:r w:rsidRPr="00C20088">
        <w:rPr>
          <w:sz w:val="24"/>
          <w:szCs w:val="24"/>
        </w:rPr>
        <w:t xml:space="preserve"> = trabecular separation.</w:t>
      </w:r>
    </w:p>
    <w:p w14:paraId="6ED3F71F" w14:textId="77777777" w:rsidR="00877D74" w:rsidRDefault="00877D74" w:rsidP="00877D74"/>
    <w:p w14:paraId="54BC49AF" w14:textId="77777777" w:rsidR="00877D74" w:rsidRPr="00C20088" w:rsidRDefault="00877D74" w:rsidP="00877D74">
      <w:pPr>
        <w:spacing w:before="120" w:after="120" w:line="360" w:lineRule="auto"/>
        <w:jc w:val="both"/>
      </w:pPr>
      <w:r>
        <w:rPr>
          <w:sz w:val="24"/>
        </w:rPr>
        <w:t xml:space="preserve">Table 2. </w:t>
      </w:r>
      <w:r w:rsidRPr="006B4265">
        <w:rPr>
          <w:sz w:val="24"/>
          <w:szCs w:val="24"/>
        </w:rPr>
        <w:t>Data extraction summary for BMD and bone volume outcomes: intervention versus OVX control</w:t>
      </w:r>
      <w:r>
        <w:rPr>
          <w:sz w:val="24"/>
        </w:rPr>
        <w:t>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50"/>
        <w:gridCol w:w="1050"/>
        <w:gridCol w:w="550"/>
        <w:gridCol w:w="1300"/>
        <w:gridCol w:w="1300"/>
        <w:gridCol w:w="750"/>
        <w:gridCol w:w="950"/>
        <w:gridCol w:w="750"/>
      </w:tblGrid>
      <w:tr w:rsidR="00877D74" w:rsidRPr="00C20088" w14:paraId="629A8BBB" w14:textId="77777777" w:rsidTr="00CD7530"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AE4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 [Ref]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466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Compound</w:t>
            </w:r>
          </w:p>
        </w:tc>
        <w:tc>
          <w:tcPr>
            <w:tcW w:w="10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22D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Model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80E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n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0AF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BMD   Treatment (Mean ± SD)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37D2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BMD   OVX Control (Mean ± SD)</w:t>
            </w:r>
          </w:p>
        </w:tc>
        <w:tc>
          <w:tcPr>
            <w:tcW w:w="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37DA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Unit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616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% Change vs Control</w:t>
            </w:r>
          </w:p>
        </w:tc>
        <w:tc>
          <w:tcPr>
            <w:tcW w:w="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FFD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p-value</w:t>
            </w:r>
          </w:p>
        </w:tc>
      </w:tr>
      <w:tr w:rsidR="00877D74" w:rsidRPr="00C20088" w14:paraId="39C4D280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80B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256575452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C90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PSO 5% diet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84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C57BL/6J mice (DXA)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B15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728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240.24 ± 11.85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7E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203.04 ± 34.19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2F8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mg/cm³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0BF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+18.3%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D11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Significant</w:t>
            </w:r>
          </w:p>
        </w:tc>
      </w:tr>
      <w:tr w:rsidR="00877D74" w:rsidRPr="00C20088" w14:paraId="762B6E9A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3C3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1112732351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C26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 10 mg/kg/day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E0B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C57BL/6J mice (micro-CT)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5FE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892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268 ± 41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406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203 ± 104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917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micro-CT units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F2B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+31.9%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661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0.001</w:t>
            </w:r>
          </w:p>
        </w:tc>
      </w:tr>
      <w:tr w:rsidR="00877D74" w:rsidRPr="00C20088" w14:paraId="18BCD96E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04C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et al.,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-832766788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2ED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PCS 4 ml/kg/day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AA8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OVX </w:t>
            </w:r>
            <w:proofErr w:type="spellStart"/>
            <w:r w:rsidRPr="00C20088">
              <w:rPr>
                <w:sz w:val="18"/>
                <w:szCs w:val="18"/>
              </w:rPr>
              <w:t>ddY</w:t>
            </w:r>
            <w:proofErr w:type="spellEnd"/>
            <w:r w:rsidRPr="00C20088">
              <w:rPr>
                <w:sz w:val="18"/>
                <w:szCs w:val="18"/>
              </w:rPr>
              <w:t xml:space="preserve"> mice (DXA) 84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D98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096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0.0248 ± 0.0013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58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0.0232 ± 0.0005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8E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g/cm²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BD9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+7.12% (right femur BMD)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909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0.01</w:t>
            </w:r>
          </w:p>
        </w:tc>
      </w:tr>
      <w:tr w:rsidR="00877D74" w:rsidRPr="00C20088" w14:paraId="33032C46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00C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Dong et al.,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485905944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34B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 50 mg/kg/day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742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mice (micro-CT)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77D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C50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21.01 ± 1.06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824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17.31 ± 2.418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AFB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BV/TV %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E13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+21.4%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7CA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0.05</w:t>
            </w:r>
          </w:p>
        </w:tc>
      </w:tr>
    </w:tbl>
    <w:p w14:paraId="1BC63AD8" w14:textId="77777777" w:rsidR="00877D74" w:rsidRDefault="00877D74" w:rsidP="00877D74"/>
    <w:p w14:paraId="1ECC39E7" w14:textId="77777777" w:rsidR="00877D74" w:rsidRDefault="00877D7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30472EE5" w14:textId="77777777" w:rsidR="00965694" w:rsidRDefault="0096569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41E78787" w14:textId="77777777" w:rsidR="00965694" w:rsidRDefault="0096569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4537776E" w14:textId="77777777" w:rsidR="00965694" w:rsidRDefault="0096569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630423B6" w14:textId="77777777" w:rsidR="00965694" w:rsidRDefault="0096569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1BD606B2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lastRenderedPageBreak/>
        <w:t xml:space="preserve">Table </w:t>
      </w:r>
      <w:r>
        <w:rPr>
          <w:sz w:val="24"/>
          <w:szCs w:val="24"/>
        </w:rPr>
        <w:t>3</w:t>
      </w:r>
      <w:r w:rsidRPr="00C20088">
        <w:rPr>
          <w:sz w:val="24"/>
          <w:szCs w:val="24"/>
        </w:rPr>
        <w:t>. Risk of bias summary for included original research studies.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955"/>
        <w:gridCol w:w="955"/>
        <w:gridCol w:w="955"/>
        <w:gridCol w:w="905"/>
        <w:gridCol w:w="1157"/>
        <w:gridCol w:w="955"/>
        <w:gridCol w:w="955"/>
        <w:gridCol w:w="805"/>
      </w:tblGrid>
      <w:tr w:rsidR="00877D74" w:rsidRPr="00C20088" w14:paraId="5652DA35" w14:textId="77777777" w:rsidTr="00CD7530"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A1D8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CABD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Sequence Gen.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847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Baseline Char.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678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proofErr w:type="spellStart"/>
            <w:r w:rsidRPr="00C20088">
              <w:rPr>
                <w:b/>
                <w:sz w:val="19"/>
                <w:szCs w:val="19"/>
              </w:rPr>
              <w:t>Alloc</w:t>
            </w:r>
            <w:proofErr w:type="spellEnd"/>
            <w:r w:rsidRPr="00C20088">
              <w:rPr>
                <w:b/>
                <w:sz w:val="19"/>
                <w:szCs w:val="19"/>
              </w:rPr>
              <w:t>. Conceal.</w:t>
            </w:r>
          </w:p>
        </w:tc>
        <w:tc>
          <w:tcPr>
            <w:tcW w:w="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820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Blinding</w:t>
            </w:r>
          </w:p>
        </w:tc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08EF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Outcome Assess.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69C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Incomplete Data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DC0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Selective Report.</w:t>
            </w:r>
          </w:p>
        </w:tc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5E0C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Overall</w:t>
            </w:r>
          </w:p>
        </w:tc>
      </w:tr>
      <w:tr w:rsidR="00877D74" w:rsidRPr="00C20088" w14:paraId="79EF11DA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1A2A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Wardhana</w:t>
            </w:r>
            <w:proofErr w:type="spellEnd"/>
            <w:r w:rsidRPr="00C20088">
              <w:rPr>
                <w:sz w:val="18"/>
                <w:szCs w:val="18"/>
              </w:rPr>
              <w:t xml:space="preserve">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597910350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[13]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A13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7A4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7BB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027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4B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(IHC)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7B8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6E8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7A1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48736BA4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810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Primasari</w:t>
            </w:r>
            <w:proofErr w:type="spellEnd"/>
            <w:r w:rsidRPr="00C20088">
              <w:rPr>
                <w:sz w:val="18"/>
                <w:szCs w:val="18"/>
              </w:rPr>
              <w:t xml:space="preserve"> 2022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-237094584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[14]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EEF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76A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434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EDB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113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(IHC)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AB7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E6B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E9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3522E172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581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Öngöz</w:t>
            </w:r>
            <w:proofErr w:type="spellEnd"/>
            <w:r w:rsidRPr="00C20088">
              <w:rPr>
                <w:sz w:val="18"/>
                <w:szCs w:val="18"/>
              </w:rPr>
              <w:t xml:space="preserve"> Dede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-74448722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[23]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EDD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DF0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7AB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AB7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78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8DC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ADC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DA9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Risk</w:t>
            </w:r>
          </w:p>
        </w:tc>
      </w:tr>
      <w:tr w:rsidR="00877D74" w:rsidRPr="00C20088" w14:paraId="26ADDA2C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F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24650663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C1A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39D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2DC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8BE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F25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(DXA)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CFE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820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A64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685FB665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E6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66986891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47D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8D2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D16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8FB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79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(micro-CT)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C22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ECF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A72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06831EFD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2D1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-1474592151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850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5E8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B28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533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35B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(DXA)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45D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D77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D1D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Risk</w:t>
            </w:r>
          </w:p>
        </w:tc>
      </w:tr>
      <w:tr w:rsidR="00877D74" w:rsidRPr="00C20088" w14:paraId="7EF61A7A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7E2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Dong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157723692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07B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D84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365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83B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003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(micro-CT)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C2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38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17F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7BF5EAC5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A4C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Burhan 2018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206972204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DDE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D9A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1F4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D7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17B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 (ELISA)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752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84A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1EA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</w:tr>
      <w:tr w:rsidR="00877D74" w:rsidRPr="00C20088" w14:paraId="0A72C8B1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7C4F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Edrizal</w:t>
            </w:r>
            <w:proofErr w:type="spellEnd"/>
            <w:r w:rsidRPr="00C20088">
              <w:rPr>
                <w:sz w:val="18"/>
                <w:szCs w:val="18"/>
              </w:rPr>
              <w:t xml:space="preserve"> 2020 [31]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962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0E0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AF3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52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046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(histopathology)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08B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229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ABE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68CF4960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F21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Saputera</w:t>
            </w:r>
            <w:proofErr w:type="spellEnd"/>
            <w:r w:rsidRPr="00C20088">
              <w:rPr>
                <w:sz w:val="18"/>
                <w:szCs w:val="18"/>
              </w:rPr>
              <w:t xml:space="preserve"> 2020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-145054825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04C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E94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68C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F97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81E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 (in silico)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76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081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3DD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Low–Moderate</w:t>
            </w:r>
          </w:p>
        </w:tc>
      </w:tr>
    </w:tbl>
    <w:p w14:paraId="733EC888" w14:textId="77777777" w:rsidR="00877D74" w:rsidRDefault="00877D74" w:rsidP="00877D74">
      <w:pPr>
        <w:spacing w:before="120" w:after="120" w:line="276" w:lineRule="auto"/>
        <w:jc w:val="both"/>
        <w:rPr>
          <w:sz w:val="24"/>
          <w:szCs w:val="24"/>
        </w:rPr>
      </w:pPr>
      <w:r w:rsidRPr="00C20088">
        <w:rPr>
          <w:sz w:val="24"/>
          <w:szCs w:val="24"/>
        </w:rPr>
        <w:t>SYRCLE Risk of Bias Tool applied to animal studies. NIH Quality Assessment Tool applied to in vitro (Burhan 2018) and in silico (</w:t>
      </w:r>
      <w:proofErr w:type="spellStart"/>
      <w:r w:rsidRPr="00C20088">
        <w:rPr>
          <w:sz w:val="24"/>
          <w:szCs w:val="24"/>
        </w:rPr>
        <w:t>Saputera</w:t>
      </w:r>
      <w:proofErr w:type="spellEnd"/>
      <w:r w:rsidRPr="00C20088">
        <w:rPr>
          <w:sz w:val="24"/>
          <w:szCs w:val="24"/>
        </w:rPr>
        <w:t xml:space="preserve"> 2020) studies. SYRCLE tool applied to </w:t>
      </w:r>
      <w:proofErr w:type="spellStart"/>
      <w:r w:rsidRPr="00C20088">
        <w:rPr>
          <w:sz w:val="24"/>
          <w:szCs w:val="24"/>
        </w:rPr>
        <w:t>Edrizal</w:t>
      </w:r>
      <w:proofErr w:type="spellEnd"/>
      <w:r w:rsidRPr="00C20088">
        <w:rPr>
          <w:sz w:val="24"/>
          <w:szCs w:val="24"/>
        </w:rPr>
        <w:t xml:space="preserve"> 2020 (in vivo animal). Domains rated: Low Risk = ●; Some Concerns = </w:t>
      </w:r>
      <w:r w:rsidRPr="00C20088">
        <w:rPr>
          <w:rFonts w:ascii="Cambria Math" w:hAnsi="Cambria Math" w:cs="Cambria Math"/>
          <w:sz w:val="24"/>
          <w:szCs w:val="24"/>
        </w:rPr>
        <w:t>◑</w:t>
      </w:r>
      <w:r w:rsidRPr="00C20088">
        <w:rPr>
          <w:sz w:val="24"/>
          <w:szCs w:val="24"/>
        </w:rPr>
        <w:t>; High Risk = ○; N/A = not applicable.</w:t>
      </w:r>
    </w:p>
    <w:p w14:paraId="4A9FEF62" w14:textId="77777777" w:rsidR="00877D74" w:rsidRDefault="00877D74" w:rsidP="00877D74"/>
    <w:p w14:paraId="74AF64AE" w14:textId="77777777" w:rsidR="00877D74" w:rsidRDefault="00877D7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5BD90899" w14:textId="77777777" w:rsidR="00965694" w:rsidRDefault="0096569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196837B7" w14:textId="77777777" w:rsidR="00965694" w:rsidRDefault="0096569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07B65E80" w14:textId="77777777" w:rsidR="00877D74" w:rsidRDefault="00877D7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7A540E91" w14:textId="77777777" w:rsidR="00877D74" w:rsidRPr="009344E2" w:rsidRDefault="00877D74" w:rsidP="00877D74">
      <w:pPr>
        <w:spacing w:before="80" w:after="60" w:line="320" w:lineRule="auto"/>
        <w:jc w:val="both"/>
        <w:rPr>
          <w:sz w:val="22"/>
          <w:szCs w:val="22"/>
        </w:rPr>
      </w:pPr>
      <w:r w:rsidRPr="00537DD8">
        <w:rPr>
          <w:bCs/>
          <w:sz w:val="24"/>
          <w:szCs w:val="24"/>
        </w:rPr>
        <w:lastRenderedPageBreak/>
        <w:t xml:space="preserve">Table </w:t>
      </w:r>
      <w:r>
        <w:rPr>
          <w:bCs/>
          <w:sz w:val="24"/>
          <w:szCs w:val="24"/>
        </w:rPr>
        <w:t>4</w:t>
      </w:r>
      <w:r w:rsidRPr="00537DD8">
        <w:rPr>
          <w:bCs/>
          <w:sz w:val="24"/>
          <w:szCs w:val="24"/>
        </w:rPr>
        <w:t>.</w:t>
      </w:r>
      <w:r w:rsidRPr="009344E2">
        <w:rPr>
          <w:b/>
          <w:sz w:val="24"/>
          <w:szCs w:val="24"/>
        </w:rPr>
        <w:t xml:space="preserve"> </w:t>
      </w:r>
      <w:r w:rsidRPr="009344E2">
        <w:rPr>
          <w:sz w:val="24"/>
          <w:szCs w:val="24"/>
        </w:rPr>
        <w:t>Integrated mechanistic summary: four biological pathways through which pomegranate-derived polyphenols modulate alveolar bone remodeling.</w:t>
      </w:r>
    </w:p>
    <w:tbl>
      <w:tblPr>
        <w:tblW w:w="880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609"/>
        <w:gridCol w:w="1609"/>
        <w:gridCol w:w="1307"/>
        <w:gridCol w:w="3118"/>
      </w:tblGrid>
      <w:tr w:rsidR="00877D74" w:rsidRPr="00FD0A93" w14:paraId="1DC8ABFE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C81E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Pathway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C8B1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Key Molecular Targets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0511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Direction of Effect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440D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Net Bone Outcome</w:t>
            </w:r>
          </w:p>
        </w:tc>
        <w:tc>
          <w:tcPr>
            <w:tcW w:w="3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8FA0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Evidence in This Review</w:t>
            </w:r>
          </w:p>
        </w:tc>
      </w:tr>
      <w:tr w:rsidR="00877D74" w:rsidRPr="00FD0A93" w14:paraId="533BEEC3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F1F6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1. RANK/RANKL/OPG Axis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372C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RANKL ↓, OPG ↑, RANK (on osteoclast precursors)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4D6E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RANKL transcription via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inhibition; ↑ OPG secretion by osteoblasts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428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↓ </w:t>
            </w:r>
            <w:proofErr w:type="spellStart"/>
            <w:r w:rsidRPr="00FD0A93">
              <w:rPr>
                <w:sz w:val="22"/>
                <w:szCs w:val="22"/>
              </w:rPr>
              <w:t>Osteoclastogenesis</w:t>
            </w:r>
            <w:proofErr w:type="spellEnd"/>
            <w:r w:rsidRPr="00FD0A93">
              <w:rPr>
                <w:sz w:val="22"/>
                <w:szCs w:val="22"/>
              </w:rPr>
              <w:t>; ↑ Osteoblast activity; ↓ Bone resorption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755C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t>Wardhana</w:t>
            </w:r>
            <w:proofErr w:type="spellEnd"/>
            <w:r w:rsidRPr="00FD0A93">
              <w:rPr>
                <w:sz w:val="22"/>
                <w:szCs w:val="22"/>
              </w:rPr>
              <w:t xml:space="preserve"> et al.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-1839078631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[13]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↓ RANKL, ↑ OPG, ↓ osteoclast (p=0.000); </w:t>
            </w:r>
            <w:proofErr w:type="spellStart"/>
            <w:r w:rsidRPr="00FD0A93">
              <w:rPr>
                <w:sz w:val="22"/>
                <w:szCs w:val="22"/>
              </w:rPr>
              <w:t>Sutjiati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="/>
                <w:id w:val="-130361389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[21]</w:t>
                </w:r>
              </w:sdtContent>
            </w:sdt>
            <w:r w:rsidRPr="00FD0A93">
              <w:rPr>
                <w:sz w:val="22"/>
                <w:szCs w:val="22"/>
              </w:rPr>
              <w:t>: ↑ OPG during OTM</w:t>
            </w:r>
          </w:p>
        </w:tc>
      </w:tr>
      <w:tr w:rsidR="00877D74" w:rsidRPr="00FD0A93" w14:paraId="1D181482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8C5A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2.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/ Pro-inflammatory Cytokines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268B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IKK,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p65; TNF-α ↓, IL-1β ↓, IL-6 ↓; IL-10 ↑; TLR2 (upstream)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982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IKK phosphorylation; TLR2 binding (Pa=0.749); Blocks nuclear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translocation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30EF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RANKL expression; ↓ Osteoclast recruitment; ↓ Bone resorption; ↑ Osteoblast survival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1FD5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t>Saputera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-1920483268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[15]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TLR2 Pa=0.749; </w:t>
            </w:r>
            <w:proofErr w:type="spellStart"/>
            <w:r w:rsidRPr="00FD0A93">
              <w:rPr>
                <w:sz w:val="22"/>
                <w:szCs w:val="22"/>
              </w:rPr>
              <w:t>Primasari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63383442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[14]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↓ TNF-α, ↑ IL-10; </w:t>
            </w:r>
            <w:proofErr w:type="spellStart"/>
            <w:r w:rsidRPr="00FD0A93">
              <w:rPr>
                <w:sz w:val="22"/>
                <w:szCs w:val="22"/>
              </w:rPr>
              <w:t>Öngöz</w:t>
            </w:r>
            <w:proofErr w:type="spellEnd"/>
            <w:r w:rsidRPr="00FD0A93">
              <w:rPr>
                <w:sz w:val="22"/>
                <w:szCs w:val="22"/>
              </w:rPr>
              <w:t xml:space="preserve"> Dede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-24549344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[23]</w:t>
                </w:r>
              </w:sdtContent>
            </w:sdt>
            <w:r w:rsidRPr="00FD0A93">
              <w:rPr>
                <w:sz w:val="22"/>
                <w:szCs w:val="22"/>
              </w:rPr>
              <w:t>: ↓ IL-6, ↓ TNF-α, ↑ IL-10 (p&lt;0.001)</w:t>
            </w:r>
          </w:p>
        </w:tc>
      </w:tr>
      <w:tr w:rsidR="00877D74" w:rsidRPr="00FD0A93" w14:paraId="483C6F0C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88CE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3. ROS Scavenging / Nrf2 Activation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2EE9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ROS (O₂⁻, H₂O₂) ↓; Nrf2 ↑; HO-1, GCL, NQO1, SOD ↑; GSH ↑; 8-OHdG ↓; MPO ↓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85F3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Direct ROS quenching; Nrf2 nuclear translocation; Coordinated antioxidant enzyme induction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84EF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↓ ROS-driven </w:t>
            </w:r>
            <w:proofErr w:type="spellStart"/>
            <w:r w:rsidRPr="00FD0A93">
              <w:rPr>
                <w:sz w:val="22"/>
                <w:szCs w:val="22"/>
              </w:rPr>
              <w:t>osteoclastogenesis</w:t>
            </w:r>
            <w:proofErr w:type="spellEnd"/>
            <w:r w:rsidRPr="00FD0A93">
              <w:rPr>
                <w:sz w:val="22"/>
                <w:szCs w:val="22"/>
              </w:rPr>
              <w:t>; ↑ Osteoblast survival; ↓ Oxidative bone matrix damage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8D8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t>Öngöz</w:t>
            </w:r>
            <w:proofErr w:type="spellEnd"/>
            <w:r w:rsidRPr="00FD0A93">
              <w:rPr>
                <w:sz w:val="22"/>
                <w:szCs w:val="22"/>
              </w:rPr>
              <w:t xml:space="preserve"> Dede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73633872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[23]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↑ GSH, ↓ MPO, ↓ 8-OHdG (p&lt;0.05); Katsumata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="/>
                <w:id w:val="-1295215251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[10]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EGCG ↑ Hmox1, </w:t>
            </w:r>
            <w:proofErr w:type="spellStart"/>
            <w:r w:rsidRPr="00FD0A93">
              <w:rPr>
                <w:sz w:val="22"/>
                <w:szCs w:val="22"/>
              </w:rPr>
              <w:t>Gclc</w:t>
            </w:r>
            <w:proofErr w:type="spellEnd"/>
            <w:r w:rsidRPr="00FD0A93">
              <w:rPr>
                <w:sz w:val="22"/>
                <w:szCs w:val="22"/>
              </w:rPr>
              <w:t xml:space="preserve"> in RAW264.7</w:t>
            </w:r>
          </w:p>
        </w:tc>
      </w:tr>
      <w:tr w:rsidR="00877D74" w:rsidRPr="00FD0A93" w14:paraId="3C70F7F6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E963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4. BMP-2/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  <w:r w:rsidRPr="00FD0A93">
              <w:rPr>
                <w:sz w:val="22"/>
                <w:szCs w:val="22"/>
              </w:rPr>
              <w:t>/β-Catenin &amp; SMAD2/3 Activation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667D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BMP-2 ↑, Smad1/5/8; SMAD2/3 ↑; Runx2 ↑, </w:t>
            </w:r>
            <w:proofErr w:type="spellStart"/>
            <w:r w:rsidRPr="00FD0A93">
              <w:rPr>
                <w:sz w:val="22"/>
                <w:szCs w:val="22"/>
              </w:rPr>
              <w:t>Osterix</w:t>
            </w:r>
            <w:proofErr w:type="spellEnd"/>
            <w:r w:rsidRPr="00FD0A93">
              <w:rPr>
                <w:sz w:val="22"/>
                <w:szCs w:val="22"/>
              </w:rPr>
              <w:t xml:space="preserve"> ↑; ALP ↑, OCN ↑, OPN ↑; Collagen type-1 ↑; 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  <w:r w:rsidRPr="00FD0A93">
              <w:rPr>
                <w:sz w:val="22"/>
                <w:szCs w:val="22"/>
              </w:rPr>
              <w:t>/β-catenin ↑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95FD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Direct polyphenol–BMP-2 interaction; SMAD2/3 upregulation (RNA-seq confirmed);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suppression de-represses 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D6D1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↑ Osteoblast differentiation; ↑ Bone matrix synthesis; ↑ Bone mineralization; ↑ Bone mass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C37B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Burhan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41030656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[16]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BMP-2 reactivity r=0.8 (p&lt;0.05); Dong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-141601218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[28]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EA ↑ SMAD2/3, Runx2, ALP, OCN (p&lt;0.05); Spilmont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1320024549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[25]</w:t>
                </w:r>
              </w:sdtContent>
            </w:sdt>
            <w:r w:rsidRPr="00FD0A93">
              <w:rPr>
                <w:sz w:val="22"/>
                <w:szCs w:val="22"/>
              </w:rPr>
              <w:t>: ALP +159%, mineralization +271%</w:t>
            </w:r>
          </w:p>
        </w:tc>
      </w:tr>
    </w:tbl>
    <w:p w14:paraId="10833C4D" w14:textId="54E56DA3" w:rsidR="00F7162C" w:rsidRDefault="00877D74">
      <w:r>
        <w:br w:type="page"/>
      </w:r>
    </w:p>
    <w:sectPr w:rsidR="00F7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74"/>
    <w:rsid w:val="003B71B3"/>
    <w:rsid w:val="00877D74"/>
    <w:rsid w:val="00965694"/>
    <w:rsid w:val="00F7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75DA"/>
  <w15:chartTrackingRefBased/>
  <w15:docId w15:val="{9651B2EA-6D8D-40E1-979B-04289085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D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D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7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7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7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7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7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7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7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7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7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35E222650442D90F5D1FE03D78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575DA-5A14-4157-A7DE-CDE66650C5B1}"/>
      </w:docPartPr>
      <w:docPartBody>
        <w:p w:rsidR="00000000" w:rsidRDefault="00F04B81" w:rsidP="00F04B81">
          <w:pPr>
            <w:pStyle w:val="8F935E222650442D90F5D1FE03D7806E"/>
          </w:pPr>
          <w:r w:rsidRPr="007036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C913682A2A497D822E84F2B7380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E29B5-56F7-4E4D-8296-ED00A1415BDB}"/>
      </w:docPartPr>
      <w:docPartBody>
        <w:p w:rsidR="00000000" w:rsidRDefault="00F04B81" w:rsidP="00F04B81">
          <w:pPr>
            <w:pStyle w:val="5DC913682A2A497D822E84F2B7380C94"/>
          </w:pPr>
          <w:r w:rsidRPr="0070363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1"/>
    <w:rsid w:val="00107942"/>
    <w:rsid w:val="003B71B3"/>
    <w:rsid w:val="00F0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B81"/>
    <w:rPr>
      <w:color w:val="666666"/>
    </w:rPr>
  </w:style>
  <w:style w:type="paragraph" w:customStyle="1" w:styleId="8F935E222650442D90F5D1FE03D7806E">
    <w:name w:val="8F935E222650442D90F5D1FE03D7806E"/>
    <w:rsid w:val="00F04B81"/>
  </w:style>
  <w:style w:type="paragraph" w:customStyle="1" w:styleId="5DC913682A2A497D822E84F2B7380C94">
    <w:name w:val="5DC913682A2A497D822E84F2B7380C94"/>
    <w:rsid w:val="00F04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/>
  <cp:lastModifiedBy>PT ANOA MANDIRI SEJAHTERA</cp:lastModifiedBy>
  <cp:revision>2</cp:revision>
  <dcterms:created xsi:type="dcterms:W3CDTF">2026-07-16T01:41:00Z</dcterms:created>
  <dcterms:modified xsi:type="dcterms:W3CDTF">2026-07-16T01:41:00Z</dcterms:modified>
</cp:coreProperties>
</file>