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Table I. Logic model for PMTCT programme implementation</w:t>
      </w:r>
    </w:p>
    <w:tbl>
      <w:tblPr>
        <w:tblStyle w:val="TableGrid"/>
        <w:tblW w:w="10000" w:type="dxa"/>
        <w:tblLayout w:type="autofit"/>
        <w:tblLook w:val="0000" w:firstRow="0" w:lastRow="0" w:firstColumn="0" w:lastColumn="0" w:noHBand="0" w:noVBand="0"/>
      </w:tblPr>
      <w:tblGrid>
        <w:gridCol w:w="1700"/>
        <w:gridCol w:w="3400"/>
        <w:gridCol w:w="2400"/>
        <w:gridCol w:w="2500"/>
      </w:tblGrid>
      <w:tr w:rsidR="00CF42E0" w:rsidRPr="003B4C92" w14:paraId="3345CFDA" w14:textId="77777777" w:rsidTr="00F012EB">
        <w:trPr>
          <w:tblHeader w:val="true"/>
        </w:trPr>
        <w:tc>
          <w:tcPr>
            <w:tcW w:w="1700" w:type="dxa"/>
          </w:tcPr>
          <w:p w14:paraId="0B067D39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b/>
                <w:bCs/>
                <w:sz w:val="16"/>
              </w:rPr>
              <w:t>Logic-Model Component</w:t>
            </w:r>
          </w:p>
        </w:tc>
        <w:tc>
          <w:tcPr>
            <w:tcW w:w="3400" w:type="dxa"/>
          </w:tcPr>
          <w:p w14:paraId="12FEB02D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b/>
                <w:bCs/>
                <w:sz w:val="16"/>
              </w:rPr>
              <w:t>Operational Elements</w:t>
            </w:r>
          </w:p>
        </w:tc>
        <w:tc>
          <w:tcPr>
            <w:tcW w:w="2400" w:type="dxa"/>
          </w:tcPr>
          <w:p w14:paraId="4FB9783A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b/>
                <w:bCs/>
                <w:sz w:val="16"/>
              </w:rPr>
              <w:t>Expected Changes / Indicators</w:t>
            </w:r>
          </w:p>
        </w:tc>
        <w:tc>
          <w:tcPr>
            <w:tcW w:w="2500" w:type="dxa"/>
          </w:tcPr>
          <w:p w14:paraId="194626A9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b/>
                <w:bCs/>
                <w:sz w:val="16"/>
              </w:rPr>
              <w:t>Underlying Assumptions &amp; External Factors</w:t>
            </w:r>
          </w:p>
        </w:tc>
      </w:tr>
      <w:tr w:rsidR="00CF42E0" w:rsidRPr="003B4C92" w14:paraId="792728AA" w14:textId="77777777" w:rsidTr="00F012EB">
        <w:tc>
          <w:tcPr>
            <w:tcW w:w="1700" w:type="dxa"/>
          </w:tcPr>
          <w:p w14:paraId="1843A95A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Inputs</w:t>
            </w:r>
          </w:p>
        </w:tc>
        <w:tc>
          <w:tcPr>
            <w:tcW w:w="3400" w:type="dxa"/>
          </w:tcPr>
          <w:p w14:paraId="76C49C49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National and district regulations (MoH Reg. No. 52/2017; No. 23/2022); operational funding (</w:t>
            </w:r>
            <w:proofErr w:type="spellStart"/>
            <w:r w:rsidRPr="003B4C92">
              <w:rPr>
                <w:sz w:val="16"/>
              </w:rPr>
              <w:t>Bantuan</w:t>
            </w:r>
            <w:proofErr w:type="spellEnd"/>
            <w:r w:rsidRPr="003B4C92">
              <w:rPr>
                <w:sz w:val="16"/>
              </w:rPr>
              <w:t xml:space="preserve"> </w:t>
            </w:r>
            <w:proofErr w:type="spellStart"/>
            <w:r w:rsidRPr="003B4C92">
              <w:rPr>
                <w:sz w:val="16"/>
              </w:rPr>
              <w:t>Operasional</w:t>
            </w:r>
            <w:proofErr w:type="spellEnd"/>
            <w:r w:rsidRPr="003B4C92">
              <w:rPr>
                <w:sz w:val="16"/>
              </w:rPr>
              <w:t xml:space="preserve"> Kesehatan – BOK); skilled midwives, HIV program coordinators, and community volunteers; technical guidance on Triple Elimination (HIV, Syphilis, Hepatitis B); NGO support (Victory Plus, PKBI)</w:t>
            </w:r>
          </w:p>
        </w:tc>
        <w:tc>
          <w:tcPr>
            <w:tcW w:w="2400" w:type="dxa"/>
          </w:tcPr>
          <w:p w14:paraId="6FAC9E5E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Adequate regulatory, financial, and human-resource foundations for PMTCT services</w:t>
            </w:r>
          </w:p>
        </w:tc>
        <w:tc>
          <w:tcPr>
            <w:tcW w:w="2500" w:type="dxa"/>
          </w:tcPr>
          <w:p w14:paraId="4C44741C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Political commitment, national budget continuity, donor support stability</w:t>
            </w:r>
          </w:p>
        </w:tc>
      </w:tr>
      <w:tr w:rsidR="00CF42E0" w:rsidRPr="003B4C92" w14:paraId="6A1068D7" w14:textId="77777777" w:rsidTr="00F012EB">
        <w:tc>
          <w:tcPr>
            <w:tcW w:w="1700" w:type="dxa"/>
          </w:tcPr>
          <w:p w14:paraId="6E50016F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Activities</w:t>
            </w:r>
          </w:p>
        </w:tc>
        <w:tc>
          <w:tcPr>
            <w:tcW w:w="3400" w:type="dxa"/>
          </w:tcPr>
          <w:p w14:paraId="0E53ECF3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Routine antenatal HIV screening and counselling; ART referral and adherence monitoring; integration of family-planning services for HIV-positive women; health-promotion and anti-stigma campaigns; intersectoral coordination meetings and training workshops</w:t>
            </w:r>
          </w:p>
        </w:tc>
        <w:tc>
          <w:tcPr>
            <w:tcW w:w="2400" w:type="dxa"/>
          </w:tcPr>
          <w:p w14:paraId="44B5CFDD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Improved service integration, consistent screening coverage, and strengthened collaboration between district offices and NGOs</w:t>
            </w:r>
          </w:p>
        </w:tc>
        <w:tc>
          <w:tcPr>
            <w:tcW w:w="2500" w:type="dxa"/>
          </w:tcPr>
          <w:p w14:paraId="0DF423DC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Stakeholder participation remains active; training is regularly funded</w:t>
            </w:r>
          </w:p>
        </w:tc>
      </w:tr>
      <w:tr w:rsidR="00CF42E0" w:rsidRPr="003B4C92" w14:paraId="30786F64" w14:textId="77777777" w:rsidTr="00F012EB">
        <w:tc>
          <w:tcPr>
            <w:tcW w:w="1700" w:type="dxa"/>
          </w:tcPr>
          <w:p w14:paraId="1292E99C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Outputs</w:t>
            </w:r>
          </w:p>
        </w:tc>
        <w:tc>
          <w:tcPr>
            <w:tcW w:w="3400" w:type="dxa"/>
          </w:tcPr>
          <w:p w14:paraId="2918AF8F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 xml:space="preserve">25 </w:t>
            </w:r>
            <w:proofErr w:type="spellStart"/>
            <w:r w:rsidRPr="003B4C92">
              <w:rPr>
                <w:sz w:val="16"/>
              </w:rPr>
              <w:t>Puskesmas</w:t>
            </w:r>
            <w:proofErr w:type="spellEnd"/>
            <w:r w:rsidRPr="003B4C92">
              <w:rPr>
                <w:sz w:val="16"/>
              </w:rPr>
              <w:t xml:space="preserve"> and 23 hospitals conducting PMTCT testing; standardized counselling protocols and SIHA 2.1 reporting systems; trained midwives with refresher sessions on PMTCT; information materials and community outreach events</w:t>
            </w:r>
          </w:p>
        </w:tc>
        <w:tc>
          <w:tcPr>
            <w:tcW w:w="2400" w:type="dxa"/>
          </w:tcPr>
          <w:p w14:paraId="3313C908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Increased HIV testing rates among ANC clients and improved data accuracy</w:t>
            </w:r>
          </w:p>
        </w:tc>
        <w:tc>
          <w:tcPr>
            <w:tcW w:w="2500" w:type="dxa"/>
          </w:tcPr>
          <w:p w14:paraId="191407B5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Laboratory supply chain functions; internet connectivity for data systems</w:t>
            </w:r>
          </w:p>
        </w:tc>
      </w:tr>
      <w:tr w:rsidR="00CF42E0" w:rsidRPr="003B4C92" w14:paraId="6C925F33" w14:textId="77777777" w:rsidTr="00F012EB">
        <w:tc>
          <w:tcPr>
            <w:tcW w:w="1700" w:type="dxa"/>
          </w:tcPr>
          <w:p w14:paraId="1756117E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lastRenderedPageBreak/>
              <w:t>Short-Term Outcomes</w:t>
            </w:r>
          </w:p>
        </w:tc>
        <w:tc>
          <w:tcPr>
            <w:tcW w:w="3400" w:type="dxa"/>
          </w:tcPr>
          <w:p w14:paraId="5BE9D129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Enhanced knowledge and self-efficacy of health workers; greater HIV testing uptake during ANC visits; higher acceptance of PMTCT counselling and partner involvement</w:t>
            </w:r>
          </w:p>
        </w:tc>
        <w:tc>
          <w:tcPr>
            <w:tcW w:w="2400" w:type="dxa"/>
          </w:tcPr>
          <w:p w14:paraId="3409E930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 xml:space="preserve">Observable </w:t>
            </w:r>
            <w:proofErr w:type="spellStart"/>
            <w:r w:rsidRPr="003B4C92">
              <w:rPr>
                <w:sz w:val="16"/>
              </w:rPr>
              <w:t>behavioural</w:t>
            </w:r>
            <w:proofErr w:type="spellEnd"/>
            <w:r w:rsidRPr="003B4C92">
              <w:rPr>
                <w:sz w:val="16"/>
              </w:rPr>
              <w:t xml:space="preserve"> change in providers and patients</w:t>
            </w:r>
          </w:p>
        </w:tc>
        <w:tc>
          <w:tcPr>
            <w:tcW w:w="2500" w:type="dxa"/>
          </w:tcPr>
          <w:p w14:paraId="7B43A15D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Community trust in health facilities continues to grow</w:t>
            </w:r>
          </w:p>
        </w:tc>
      </w:tr>
      <w:tr w:rsidR="00CF42E0" w:rsidRPr="003B4C92" w14:paraId="3A57B804" w14:textId="77777777" w:rsidTr="00F012EB">
        <w:tc>
          <w:tcPr>
            <w:tcW w:w="1700" w:type="dxa"/>
          </w:tcPr>
          <w:p w14:paraId="465B0F74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Intermediate Outcomes</w:t>
            </w:r>
          </w:p>
        </w:tc>
        <w:tc>
          <w:tcPr>
            <w:tcW w:w="3400" w:type="dxa"/>
          </w:tcPr>
          <w:p w14:paraId="2E6CAC95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 xml:space="preserve">Improved ART adherence and follow-up compliance; strengthened referral linkages to </w:t>
            </w:r>
            <w:proofErr w:type="spellStart"/>
            <w:r w:rsidRPr="003B4C92">
              <w:rPr>
                <w:sz w:val="16"/>
              </w:rPr>
              <w:t>Layanan</w:t>
            </w:r>
            <w:proofErr w:type="spellEnd"/>
            <w:r w:rsidRPr="003B4C92">
              <w:rPr>
                <w:sz w:val="16"/>
              </w:rPr>
              <w:t xml:space="preserve"> </w:t>
            </w:r>
            <w:proofErr w:type="spellStart"/>
            <w:r w:rsidRPr="003B4C92">
              <w:rPr>
                <w:sz w:val="16"/>
              </w:rPr>
              <w:t>Komprehensif</w:t>
            </w:r>
            <w:proofErr w:type="spellEnd"/>
            <w:r w:rsidRPr="003B4C92">
              <w:rPr>
                <w:sz w:val="16"/>
              </w:rPr>
              <w:t xml:space="preserve"> </w:t>
            </w:r>
            <w:proofErr w:type="spellStart"/>
            <w:r w:rsidRPr="003B4C92">
              <w:rPr>
                <w:sz w:val="16"/>
              </w:rPr>
              <w:t>Berkesinambungan</w:t>
            </w:r>
            <w:proofErr w:type="spellEnd"/>
            <w:r w:rsidRPr="003B4C92">
              <w:rPr>
                <w:sz w:val="16"/>
              </w:rPr>
              <w:t xml:space="preserve"> (LKB); regular cross-sector data sharing and coordination</w:t>
            </w:r>
          </w:p>
        </w:tc>
        <w:tc>
          <w:tcPr>
            <w:tcW w:w="2400" w:type="dxa"/>
          </w:tcPr>
          <w:p w14:paraId="1A25A8FF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Institutionalized PMTCT governance and reduced stigma in care settings</w:t>
            </w:r>
          </w:p>
        </w:tc>
        <w:tc>
          <w:tcPr>
            <w:tcW w:w="2500" w:type="dxa"/>
          </w:tcPr>
          <w:p w14:paraId="31D10273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Adequate logistics and leadership support are maintained</w:t>
            </w:r>
          </w:p>
        </w:tc>
      </w:tr>
      <w:tr w:rsidR="00CF42E0" w:rsidRPr="003B4C92" w14:paraId="02AEDEC1" w14:textId="77777777" w:rsidTr="00F012EB">
        <w:tc>
          <w:tcPr>
            <w:tcW w:w="1700" w:type="dxa"/>
          </w:tcPr>
          <w:p w14:paraId="523B3ACF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Long-Term Impact</w:t>
            </w:r>
          </w:p>
        </w:tc>
        <w:tc>
          <w:tcPr>
            <w:tcW w:w="3400" w:type="dxa"/>
          </w:tcPr>
          <w:p w14:paraId="454BEA5F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Sustained reduction in vertical HIV transmission rate; improved maternal and child health indicators; institutionalized PMTCT policy at district level</w:t>
            </w:r>
          </w:p>
        </w:tc>
        <w:tc>
          <w:tcPr>
            <w:tcW w:w="2400" w:type="dxa"/>
          </w:tcPr>
          <w:p w14:paraId="0C6B09D1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>Achievement of Triple Elimination targets (HIV, Syphilis, Hepatitis B)</w:t>
            </w:r>
          </w:p>
        </w:tc>
        <w:tc>
          <w:tcPr>
            <w:tcW w:w="2500" w:type="dxa"/>
          </w:tcPr>
          <w:p w14:paraId="01645F76" w14:textId="77777777" w:rsidR="00CF42E0" w:rsidRPr="003B4C92" w:rsidRDefault="00CF42E0" w:rsidP="00F012EB">
            <w:pPr>
              <w:spacing w:before="0" w:after="0" w:line="240" w:lineRule="auto"/>
            </w:pPr>
            <w:r w:rsidRPr="003B4C92">
              <w:rPr>
                <w:sz w:val="16"/>
              </w:rPr>
              <w:t xml:space="preserve">Macroeconomic and political stability; public acceptance of HIV </w:t>
            </w:r>
            <w:proofErr w:type="spellStart"/>
            <w:r w:rsidRPr="003B4C92">
              <w:rPr>
                <w:sz w:val="16"/>
              </w:rPr>
              <w:t>programmes</w:t>
            </w:r>
            <w:proofErr w:type="spellEnd"/>
          </w:p>
        </w:tc>
      </w:tr>
    </w:tbl>
    <w:p>
      <w:pPr>
        <w:spacing w:before="80" w:after="0"/>
        <w:jc w:val="left"/>
      </w:pPr>
      <w:r>
        <w:rPr>
          <w:sz w:val="17"/>
        </w:rPr>
        <w:t>Source: Authors’ analytical synthesis based on interview, FGD and policy-document findings.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