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</w:pPr>
      <w:r>
        <w:rPr>
          <w:b w:val="0"/>
          <w:i w:val="0"/>
        </w:rPr>
        <w:t>Version of July 10th, 2024</w:t>
      </w:r>
    </w:p>
    <w:p>
      <w:pPr>
        <w:spacing w:line="480" w:lineRule="auto" w:after="0"/>
        <w:jc w:val="center"/>
      </w:pPr>
      <w:r>
        <w:rPr>
          <w:b/>
          <w:i w:val="0"/>
        </w:rPr>
        <w:t>Sea Rabbit and Papaya Syrup for Hemoglobin and Ferritin in Stunted Toddlers: A Randomized Controlled Trial</w:t>
      </w:r>
    </w:p>
    <w:p>
      <w:pPr>
        <w:spacing w:line="480" w:lineRule="auto" w:after="0"/>
        <w:jc w:val="center"/>
      </w:pPr>
      <w:r>
        <w:rPr>
          <w:b/>
          <w:i w:val="0"/>
        </w:rPr>
        <w:t>Sea rabbit-papaya syrup in toddlers</w:t>
      </w:r>
    </w:p>
    <w:p>
      <w:pPr>
        <w:spacing w:line="480" w:lineRule="auto" w:after="0"/>
        <w:jc w:val="center"/>
      </w:pPr>
      <w:r>
        <w:rPr>
          <w:b/>
          <w:i w:val="0"/>
        </w:rPr>
        <w:t>Xarope de Lebre-do-mar e Mamão para Hemoglobina e Ferritina em Crianças com Baixa Estatura: Ensaio Randomizado</w:t>
      </w:r>
    </w:p>
    <w:p>
      <w:pPr>
        <w:spacing w:line="480" w:lineRule="auto" w:after="0"/>
        <w:jc w:val="center"/>
      </w:pPr>
      <w:r>
        <w:rPr>
          <w:b/>
          <w:i w:val="0"/>
        </w:rPr>
        <w:t>Xarope de lebre-do-mar em crianças</w:t>
      </w:r>
    </w:p>
    <w:p>
      <w:pPr>
        <w:spacing w:line="480" w:lineRule="auto" w:after="0"/>
      </w:pPr>
    </w:p>
    <w:p>
      <w:pPr>
        <w:pStyle w:val="Heading1"/>
      </w:pPr>
      <w:r>
        <w:rPr>
          <w:b/>
        </w:rPr>
        <w:t>AUTHORS</w:t>
      </w:r>
    </w:p>
    <w:p>
      <w:pPr>
        <w:spacing w:line="480" w:lineRule="auto" w:after="0"/>
      </w:pPr>
      <w:r>
        <w:rPr>
          <w:b w:val="0"/>
          <w:i w:val="0"/>
        </w:rPr>
        <w:t>Sultan Akbar Toruntju (ORCID: 0009-0004-1070-8843), Department of Nutrition, Health Polytechnic of the Ministry of Health Kendari, Kendari, Southeast Sulawesi, Indonesia.</w:t>
      </w:r>
    </w:p>
    <w:p>
      <w:pPr>
        <w:spacing w:line="480" w:lineRule="auto" w:after="0"/>
      </w:pPr>
      <w:r>
        <w:rPr>
          <w:b w:val="0"/>
          <w:i w:val="0"/>
        </w:rPr>
        <w:t>Rasmaniar (ORCID: 0000-0003-1003-3028), Department of Nutrition, Health Polytechnic of the Ministry of Health Kendari, Kendari, Southeast Sulawesi, Indonesia.</w:t>
      </w:r>
    </w:p>
    <w:p>
      <w:pPr>
        <w:spacing w:line="480" w:lineRule="auto" w:after="0"/>
      </w:pPr>
      <w:r>
        <w:rPr>
          <w:b w:val="0"/>
          <w:i w:val="0"/>
        </w:rPr>
        <w:t>Kameriah Gani (ORCID: 0009-0007-3155-1752), Department of Nutrition, Health Polytechnic of the Ministry of Health Kendari, Kendari, Southeast Sulawesi, Indonesia.</w:t>
      </w:r>
    </w:p>
    <w:p>
      <w:pPr>
        <w:spacing w:line="480" w:lineRule="auto" w:after="0"/>
      </w:pPr>
      <w:r>
        <w:rPr>
          <w:b w:val="0"/>
          <w:i w:val="0"/>
        </w:rPr>
        <w:t>Evi Kusumawati (ORCID: [ORCID TO BE COMPLETED]), Department of Nutrition, Health Polytechnic of the Ministry of Health Kendari, Kendari, Southeast Sulawesi, Indonesia.</w:t>
      </w:r>
    </w:p>
    <w:p>
      <w:pPr>
        <w:spacing w:line="480" w:lineRule="auto" w:after="0"/>
      </w:pPr>
    </w:p>
    <w:p>
      <w:pPr>
        <w:pStyle w:val="Heading1"/>
      </w:pPr>
      <w:r>
        <w:rPr>
          <w:b/>
        </w:rPr>
        <w:t>AUTHOR CONTRIBUTIONS</w:t>
      </w:r>
    </w:p>
    <w:p>
      <w:pPr>
        <w:spacing w:line="480" w:lineRule="auto" w:after="0"/>
      </w:pPr>
      <w:r>
        <w:rPr>
          <w:b w:val="0"/>
          <w:i w:val="0"/>
        </w:rPr>
        <w:t>Study design: Sultan Akbar Toruntju, Rasmaniar, Kameriah Gani, Evi Kusumawati</w:t>
      </w:r>
    </w:p>
    <w:p>
      <w:pPr>
        <w:spacing w:line="480" w:lineRule="auto" w:after="0"/>
      </w:pPr>
      <w:r>
        <w:rPr>
          <w:b w:val="0"/>
          <w:i w:val="0"/>
        </w:rPr>
        <w:t>Data collection: Sultan Akbar Toruntju, Rasmaniar, Kameriah Gani, Evi Kusumawati</w:t>
      </w:r>
    </w:p>
    <w:p>
      <w:pPr>
        <w:spacing w:line="480" w:lineRule="auto" w:after="0"/>
      </w:pPr>
      <w:r>
        <w:rPr>
          <w:b w:val="0"/>
          <w:i w:val="0"/>
        </w:rPr>
        <w:t>Data analysis: Sultan Akbar Toruntju, Rasmaniar</w:t>
      </w:r>
    </w:p>
    <w:p>
      <w:pPr>
        <w:spacing w:line="480" w:lineRule="auto" w:after="0"/>
      </w:pPr>
      <w:r>
        <w:rPr>
          <w:b w:val="0"/>
          <w:i w:val="0"/>
        </w:rPr>
        <w:t>Manuscript writing: Sultan Akbar Toruntju, Rasmaniar, Kameriah Gani</w:t>
      </w:r>
    </w:p>
    <w:p>
      <w:pPr>
        <w:spacing w:line="480" w:lineRule="auto" w:after="0"/>
      </w:pPr>
      <w:r>
        <w:rPr>
          <w:b w:val="0"/>
          <w:i w:val="0"/>
        </w:rPr>
        <w:t>Manuscript revision: Sultan Akbar Toruntju, Rasmaniar, Kameriah Gani, Evi Kusumawati</w:t>
      </w:r>
    </w:p>
    <w:p>
      <w:pPr>
        <w:spacing w:line="480" w:lineRule="auto" w:after="0"/>
      </w:pPr>
      <w:r>
        <w:rPr>
          <w:b w:val="0"/>
          <w:i w:val="0"/>
        </w:rPr>
        <w:t>Study supervision: Sultan Akbar Toruntju</w:t>
      </w:r>
    </w:p>
    <w:p>
      <w:pPr>
        <w:spacing w:line="480" w:lineRule="auto" w:after="0"/>
      </w:pPr>
    </w:p>
    <w:p>
      <w:pPr>
        <w:pStyle w:val="Heading1"/>
      </w:pPr>
      <w:r>
        <w:rPr>
          <w:b/>
        </w:rPr>
        <w:t>DECLARATION</w:t>
      </w:r>
    </w:p>
    <w:p>
      <w:pPr>
        <w:spacing w:line="480" w:lineRule="auto" w:after="0"/>
      </w:pPr>
      <w:r>
        <w:rPr>
          <w:b w:val="0"/>
          <w:i w:val="0"/>
        </w:rPr>
        <w:t>The database that originated the article is available on reasonable request from the corresponding author, subject to ethical restrictions related to the confidentiality of data from child participants.</w:t>
      </w:r>
    </w:p>
    <w:p>
      <w:pPr>
        <w:spacing w:line="480" w:lineRule="auto" w:after="0"/>
      </w:pPr>
    </w:p>
    <w:p>
      <w:pPr>
        <w:pStyle w:val="Heading1"/>
      </w:pPr>
      <w:r>
        <w:rPr>
          <w:b/>
        </w:rPr>
        <w:t>CORRESPONDING AUTHOR</w:t>
      </w:r>
    </w:p>
    <w:p>
      <w:pPr>
        <w:spacing w:line="480" w:lineRule="auto" w:after="0"/>
      </w:pPr>
      <w:r>
        <w:rPr>
          <w:b w:val="0"/>
          <w:i w:val="0"/>
        </w:rPr>
        <w:t>Name: Sultan Akbar Toruntju</w:t>
      </w:r>
    </w:p>
    <w:p>
      <w:pPr>
        <w:spacing w:line="480" w:lineRule="auto" w:after="0"/>
      </w:pPr>
      <w:r>
        <w:rPr>
          <w:b w:val="0"/>
          <w:i w:val="0"/>
        </w:rPr>
        <w:t>Address: Jalan A.H. Nasution No. G-14, Anduonohu, Kendari, Southeast Sulawesi, Indonesia</w:t>
      </w:r>
    </w:p>
    <w:p>
      <w:pPr>
        <w:spacing w:line="480" w:lineRule="auto" w:after="0"/>
      </w:pPr>
      <w:r>
        <w:rPr>
          <w:b w:val="0"/>
          <w:i w:val="0"/>
        </w:rPr>
        <w:t>Phone: +62 813 4190 5666</w:t>
      </w:r>
    </w:p>
    <w:p>
      <w:pPr>
        <w:spacing w:line="480" w:lineRule="auto" w:after="0"/>
      </w:pPr>
      <w:r>
        <w:rPr>
          <w:b w:val="0"/>
          <w:i w:val="0"/>
        </w:rPr>
        <w:t>E-mail: akbartoruntju21@gmail.com</w:t>
      </w:r>
    </w:p>
    <w:p>
      <w:pPr>
        <w:spacing w:line="480" w:lineRule="auto" w:after="0"/>
      </w:pPr>
    </w:p>
    <w:p>
      <w:pPr>
        <w:pStyle w:val="Heading1"/>
      </w:pPr>
      <w:r>
        <w:rPr>
          <w:b/>
        </w:rPr>
        <w:t>CONFLICT OF INTERESTS</w:t>
      </w:r>
    </w:p>
    <w:p>
      <w:pPr>
        <w:spacing w:line="480" w:lineRule="auto" w:after="0"/>
      </w:pPr>
      <w:r>
        <w:rPr>
          <w:b w:val="0"/>
          <w:i w:val="0"/>
        </w:rPr>
        <w:t>The authors declare that there is no conflict of interests.</w:t>
      </w:r>
    </w:p>
    <w:p>
      <w:pPr>
        <w:spacing w:line="480" w:lineRule="auto" w:after="0"/>
      </w:pPr>
    </w:p>
    <w:p>
      <w:pPr>
        <w:pStyle w:val="Heading1"/>
      </w:pPr>
      <w:r>
        <w:rPr>
          <w:b/>
        </w:rPr>
        <w:t>FUNDING</w:t>
      </w:r>
    </w:p>
    <w:p>
      <w:pPr>
        <w:spacing w:line="480" w:lineRule="auto" w:after="0"/>
      </w:pPr>
      <w:r>
        <w:rPr>
          <w:b w:val="0"/>
          <w:i w:val="0"/>
        </w:rPr>
        <w:t>The study did not receive any funding.</w:t>
      </w:r>
    </w:p>
    <w:p>
      <w:pPr>
        <w:spacing w:line="480" w:lineRule="auto" w:after="0"/>
      </w:pPr>
    </w:p>
    <w:p>
      <w:pPr>
        <w:spacing w:line="480" w:lineRule="auto" w:after="0"/>
      </w:pPr>
      <w:r>
        <w:rPr>
          <w:b w:val="0"/>
          <w:i w:val="0"/>
        </w:rPr>
        <w:t>Total number of words: text 1329; resumo 233; abstract 243; references 16; tables 4; figures 0.</w:t>
      </w:r>
    </w:p>
    <w:p>
      <w:pPr>
        <w:spacing w:line="480" w:lineRule="auto" w:after="0"/>
      </w:pPr>
      <w:r>
        <w:rPr>
          <w:b w:val="0"/>
          <w:i w:val="0"/>
        </w:rPr>
        <w:t>Number of CAAE: Not applicable to research conducted outside Brazil; local ethics approval No. 142/KEPK/IAKMI/XI/2020.</w:t>
      </w:r>
    </w:p>
    <w:p>
      <w:pPr>
        <w:spacing w:line="480" w:lineRule="auto" w:after="0"/>
      </w:pPr>
      <w:r>
        <w:rPr>
          <w:b w:val="0"/>
          <w:i w:val="0"/>
        </w:rPr>
        <w:t>Clinical trial registration: [TO BE COMPLETED BEFORE SUBMISSION IF AVAILABLE].</w:t>
      </w:r>
    </w:p>
    <w:p>
      <w:pPr>
        <w:spacing w:line="480" w:lineRule="auto" w:after="0"/>
      </w:pPr>
    </w:p>
    <w:p>
      <w:pPr>
        <w:pStyle w:val="Heading1"/>
      </w:pPr>
      <w:r>
        <w:rPr>
          <w:b/>
        </w:rPr>
        <w:t>COMPLETING THE REVISTA PAULISTA DE PEDIATRIA</w:t>
      </w:r>
    </w:p>
    <w:p>
      <w:pPr>
        <w:spacing w:line="480" w:lineRule="auto" w:after="0"/>
      </w:pPr>
      <w:r>
        <w:rPr>
          <w:b w:val="0"/>
          <w:i w:val="0"/>
        </w:rPr>
        <w:t>Editor-in-chief:</w:t>
      </w:r>
    </w:p>
    <w:p>
      <w:pPr>
        <w:spacing w:line="480" w:lineRule="auto" w:after="0"/>
      </w:pPr>
      <w:r>
        <w:rPr>
          <w:b w:val="0"/>
          <w:i w:val="0"/>
        </w:rPr>
        <w:t>Associate editor:</w:t>
      </w:r>
    </w:p>
    <w:p>
      <w:pPr>
        <w:spacing w:line="480" w:lineRule="auto" w:after="0"/>
      </w:pPr>
      <w:r>
        <w:rPr>
          <w:b w:val="0"/>
          <w:i w:val="0"/>
        </w:rPr>
        <w:t>Reviewers:</w:t>
      </w:r>
    </w:p>
    <w:p>
      <w:pPr>
        <w:spacing w:line="480" w:lineRule="auto" w:after="0"/>
      </w:pPr>
      <w:r>
        <w:rPr>
          <w:b w:val="0"/>
          <w:i w:val="0"/>
        </w:rPr>
        <w:t>Executive editor:</w:t>
      </w:r>
    </w:p>
    <w:p>
      <w:pPr>
        <w:spacing w:line="480" w:lineRule="auto" w:after="0"/>
      </w:pPr>
      <w:r>
        <w:rPr>
          <w:b w:val="0"/>
          <w:i w:val="0"/>
        </w:rPr>
        <w:t>Article type: Original Article</w:t>
      </w:r>
    </w:p>
    <w:p>
      <w:pPr>
        <w:spacing w:line="480" w:lineRule="auto" w:after="0"/>
      </w:pPr>
      <w:r>
        <w:rPr>
          <w:b w:val="0"/>
          <w:i w:val="0"/>
        </w:rPr>
        <w:t>DOI:</w:t>
      </w:r>
    </w:p>
    <w:p>
      <w:pPr>
        <w:spacing w:line="480" w:lineRule="auto" w:after="0"/>
      </w:pPr>
      <w:r>
        <w:rPr>
          <w:b w:val="0"/>
          <w:i w:val="0"/>
        </w:rPr>
        <w:t>Elocator:</w:t>
      </w:r>
    </w:p>
    <w:p>
      <w:pPr>
        <w:spacing w:line="480" w:lineRule="auto" w:after="0"/>
      </w:pPr>
      <w:r>
        <w:rPr>
          <w:b w:val="0"/>
          <w:i w:val="0"/>
        </w:rPr>
        <w:t>Received:</w:t>
      </w:r>
    </w:p>
    <w:p>
      <w:pPr>
        <w:spacing w:line="480" w:lineRule="auto" w:after="0"/>
      </w:pPr>
      <w:r>
        <w:rPr>
          <w:b w:val="0"/>
          <w:i w:val="0"/>
        </w:rPr>
        <w:t>Approved: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line="240" w:lineRule="auto" w:after="0"/>
    </w:pPr>
    <w:rPr>
      <w:rFonts w:ascii="Times New Roman" w:hAnsi="Times New Roman" w:eastAsia="Times New Roman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