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E7C86"/>
          <w:sz w:val="52"/>
        </w:rPr>
        <w:t>Findings</w:t>
      </w:r>
    </w:p>
    <w:p>
      <w:r>
        <w:rPr>
          <w:color w:val="5F7A80"/>
          <w:sz w:val="25"/>
        </w:rPr>
        <w:t>What the analysis found, with the evidence and the uncertainty for each.</w:t>
      </w:r>
    </w:p>
    <w:p/>
    <w:p>
      <w:pPr>
        <w:spacing w:after="40"/>
      </w:pPr>
      <w:r>
        <w:rPr>
          <w:color w:val="5F7A80"/>
          <w:sz w:val="19"/>
        </w:rPr>
        <w:t>Nusrat Jahan</w:t>
      </w:r>
    </w:p>
    <w:p>
      <w:pPr>
        <w:spacing w:after="40"/>
      </w:pPr>
      <w:r>
        <w:rPr>
          <w:color w:val="5F7A80"/>
          <w:sz w:val="19"/>
        </w:rPr>
        <w:t>Master of Business Analytics and AI, Ontario Tech University</w:t>
      </w:r>
    </w:p>
    <w:p>
      <w:pPr>
        <w:spacing w:after="40"/>
      </w:pPr>
      <w:r>
        <w:rPr>
          <w:color w:val="5F7A80"/>
          <w:sz w:val="19"/>
        </w:rPr>
        <w:t>Generated 03 September 2026</w:t>
      </w:r>
    </w:p>
    <w:p/>
    <w:p>
      <w:r>
        <w:t>One entry per analysis, written by the analysis script itself. Each states the finding, the evidence behind it, the sample it rests on and how uncertain it is. Rerunning an analysis replaces its entry rather than adding a second one.</w:t>
      </w:r>
    </w:p>
    <w:p>
      <w:pPr>
        <w:pStyle w:val="Heading2"/>
      </w:pPr>
      <w:r>
        <w:t>3.3 Seasonality: when attention peaks against when Canadians shop</w:t>
      </w:r>
    </w:p>
    <w:p>
      <w:r>
        <w:t>The two series are seasonal to very different degrees, and that gap is the opportunity. The book and hobby category swings 99 index points across the year, peaking in Dec at 172 and falling to 86 in January, while franchise attention barely moves at all, spanning only 25 points and sitting at 110 in that same January. So the category's December peak is made by the gift calendar, not by any surge of interest in the franchise, and January is the month when shelves empty while attention does not. Attention peaks in Nov, 1 month ahead of the category peak, but the difference in amplitude matters far more than the difference in timing.</w:t>
      </w:r>
    </w:p>
    <w:p>
      <w:pPr>
        <w:pStyle w:val="ListBullet"/>
      </w:pPr>
      <w:r>
        <w:rPr>
          <w:b/>
        </w:rPr>
        <w:t>Evidence:</w:t>
      </w:r>
      <w:r>
        <w:t xml:space="preserve"> STL decomposition of monthly Wikipedia pageviews and of Canadian monthly retail sales, each indexed against its own trend so that growth is not mistaken for seasonality.</w:t>
      </w:r>
    </w:p>
    <w:p>
      <w:pPr>
        <w:pStyle w:val="ListBullet"/>
      </w:pPr>
      <w:r>
        <w:rPr>
          <w:b/>
        </w:rPr>
        <w:t>Sample:</w:t>
      </w:r>
      <w:r>
        <w:t xml:space="preserve"> 110 months of attention data (2015-07 to 2026-08) and 402 months of retail data (1991-01 to 2026-06). 2020 and 2021 excluded from both.</w:t>
      </w:r>
    </w:p>
    <w:p>
      <w:pPr>
        <w:pStyle w:val="ListBullet"/>
      </w:pPr>
      <w:r>
        <w:rPr>
          <w:b/>
        </w:rPr>
        <w:t>Uncertainty:</w:t>
      </w:r>
      <w:r>
        <w:t xml:space="preserve"> The monthly index is a mean across years and each month's spread is in seasonality_monthly_index.csv. The attention series covers eleven years and the retail series thirty five, so the retail seasonal estimate is the firmer of the two. Pre 2017 retail values were rescaled from an archived table via a NAICS crosswalk that agrees with the active table to within 1.3 per cent.</w:t>
      </w:r>
    </w:p>
    <w:p>
      <w:pPr>
        <w:pStyle w:val="ListBullet"/>
      </w:pPr>
      <w:r>
        <w:rPr>
          <w:b/>
        </w:rPr>
        <w:t>Figure:</w:t>
      </w:r>
      <w:r>
        <w:t xml:space="preserve"> </w:t>
      </w:r>
      <w:r>
        <w:rPr>
          <w:rFonts w:ascii="Consolas" w:hAnsi="Consolas"/>
          <w:color w:val="0E7C86"/>
          <w:sz w:val="19"/>
        </w:rPr>
        <w:t>images/figures/seasonality_attention_vs_retail.png</w:t>
      </w:r>
    </w:p>
    <w:p>
      <w:pPr>
        <w:pStyle w:val="ListBullet"/>
      </w:pPr>
      <w:r>
        <w:rPr>
          <w:b/>
        </w:rPr>
        <w:t>Table:</w:t>
      </w:r>
      <w:r>
        <w:t xml:space="preserve"> </w:t>
      </w:r>
      <w:r>
        <w:rPr>
          <w:rFonts w:ascii="Consolas" w:hAnsi="Consolas"/>
          <w:color w:val="0E7C86"/>
          <w:sz w:val="19"/>
        </w:rPr>
        <w:t>outputs/tables/seasonality_monthly_index.csv</w:t>
      </w:r>
    </w:p>
    <w:p>
      <w:pPr>
        <w:pStyle w:val="Heading2"/>
      </w:pPr>
      <w:r>
        <w:t>3.3b Event study: what a franchise event does to attention</w:t>
      </w:r>
    </w:p>
    <w:p>
      <w:r>
        <w:t>The March 2026 teaser produced the largest single response in the whole series, taking the show's article from a median 4,070 views a day to 135,314, a multiple of 33 — but it was back within a fifth of its pre-trailer level in 27 days and two to four months later was running at 0.86 times it, which is to say no higher than before. The same holds for cinema releases: across 3 films the median peak was only 1.6 times the pre-release baseline and attention two to four months later sat at 0.87 times it, slightly below where it started, because the marketing run up had already lifted the comparison. The durable rise in attention to the new series did not come from any single dated event at all: the show's article moved from roughly forty views a day through 2024 to around five thousand from July 2025 onward and has stayed there, a step of more than a hundredfold that accumulated through casting and production news rather than arriving on one day. For a buyer this reverses the intuitive reading: individual publicity events are noise that decays inside a month, and the thing worth planning against is the sustained level the franchise has already reached.</w:t>
      </w:r>
    </w:p>
    <w:p>
      <w:pPr>
        <w:pStyle w:val="ListBullet"/>
      </w:pPr>
      <w:r>
        <w:rPr>
          <w:b/>
        </w:rPr>
        <w:t>Evidence:</w:t>
      </w:r>
      <w:r>
        <w:t xml:space="preserve"> Daily Wikipedia pageviews around each dated event on two baselines: the 28 days immediately before, which measures the spike, and the year ending 90 days before, which measures whether the level durably changed. Medians throughout, so one exceptional day cannot define a window. The two baselines disagree in a way that matters: measured against the short window every event looks like it decays to nothing, because the run up to the event has already raised the comparison.</w:t>
      </w:r>
    </w:p>
    <w:p>
      <w:pPr>
        <w:pStyle w:val="ListBullet"/>
      </w:pPr>
      <w:r>
        <w:rPr>
          <w:b/>
        </w:rPr>
        <w:t>Sample:</w:t>
      </w:r>
      <w:r>
        <w:t xml:space="preserve"> 4 events with a complete before and after window: 3 cinema releases and 1 announcement event. Events before July 2015 fall outside the pageviews series and are excluded, which removes all eight original films and is the main limitation of this sample.</w:t>
      </w:r>
    </w:p>
    <w:p>
      <w:pPr>
        <w:pStyle w:val="ListBullet"/>
      </w:pPr>
      <w:r>
        <w:rPr>
          <w:b/>
        </w:rPr>
        <w:t>Uncertainty:</w:t>
      </w:r>
      <w:r>
        <w:t xml:space="preserve"> Peak multiples across film releases run from 1.3 to 2.5, so any single figure taken from them carries a factor of about two either way, and three events is far too few to fit a distribution to. No event in this sample is a streaming premiere, which is the event actually being forecast, and a premiere that releases eight episodes over eight weeks has no analogue here at all. The step identified in 2025 is read off the series rather than tested against a counterfactual, so it is a description of what happened, not a causal estimate.</w:t>
      </w:r>
    </w:p>
    <w:p>
      <w:pPr>
        <w:pStyle w:val="ListBullet"/>
      </w:pPr>
      <w:r>
        <w:rPr>
          <w:b/>
        </w:rPr>
        <w:t>Figure:</w:t>
      </w:r>
      <w:r>
        <w:t xml:space="preserve"> </w:t>
      </w:r>
      <w:r>
        <w:rPr>
          <w:rFonts w:ascii="Consolas" w:hAnsi="Consolas"/>
          <w:color w:val="0E7C86"/>
          <w:sz w:val="19"/>
        </w:rPr>
        <w:t>images/figures/event_study_attention_response.png</w:t>
      </w:r>
    </w:p>
    <w:p>
      <w:pPr>
        <w:pStyle w:val="ListBullet"/>
      </w:pPr>
      <w:r>
        <w:rPr>
          <w:b/>
        </w:rPr>
        <w:t>Table:</w:t>
      </w:r>
      <w:r>
        <w:t xml:space="preserve"> </w:t>
      </w:r>
      <w:r>
        <w:rPr>
          <w:rFonts w:ascii="Consolas" w:hAnsi="Consolas"/>
          <w:color w:val="0E7C86"/>
          <w:sz w:val="19"/>
        </w:rPr>
        <w:t>outputs/tables/event_study_responses.csv</w:t>
      </w:r>
    </w:p>
    <w:p>
      <w:pPr>
        <w:pStyle w:val="Heading2"/>
      </w:pPr>
      <w:r>
        <w:t>3.2 Character network: no communities, one bloc, and one independent audience</w:t>
      </w:r>
    </w:p>
    <w:p>
      <w:r>
        <w:t>The network the brief asked for does not exist, and that is the result. Built from attention because the chapter records carry no character list, the 16 main cast members correlate with each other between 0.44 and 0.74 once the shared franchise trend is differenced away, with no gap anywhere in that range. At any threshold below 0.44 every one of the 120 pairs clears it and the graph is complete, and above that it thins evenly rather than splitting into groups. There are no communities to find: attention to this cast moves as a single bloc, so centrality on it measures only how tightly each character is tied to that bloc. On that reading Bellatrix Lestrange is the most tied in at 0.66 and Dobby the least at 0.52. The one commercially useful asymmetry in the table is Hermione Granger, who is 4 of 16 on traffic with 9.5 million weekly views but only 15 on coupling at 0.55: a large following that does not need a franchise moment to show up, and therefore the safest character to carry outside one.</w:t>
      </w:r>
    </w:p>
    <w:p>
      <w:pPr>
        <w:pStyle w:val="ListBullet"/>
      </w:pPr>
      <w:r>
        <w:rPr>
          <w:b/>
        </w:rPr>
        <w:t>Evidence:</w:t>
      </w:r>
      <w:r>
        <w:t xml:space="preserve"> Spearman correlations of week-on-week log changes in Wikipedia pageviews across 120 character pairs. The log difference removes the shared franchise trend; without it every pair correlates above 0.9 and the exercise measures nothing but the trend. Degree, betweenness and eigenvector centrality were all computed as section 9 requires and are in the output table, but on a graph this dense they rank coupling strength rather than network position, and the finding says so rather than presenting them as structure.</w:t>
      </w:r>
    </w:p>
    <w:p>
      <w:pPr>
        <w:pStyle w:val="ListBullet"/>
      </w:pPr>
      <w:r>
        <w:rPr>
          <w:b/>
        </w:rPr>
        <w:t>Sample:</w:t>
      </w:r>
      <w:r>
        <w:t xml:space="preserve"> 16 characters over 582 complete weeks, 2015-07-06 to 2026-08-24. Only the sixteen main cast members with a mapped Wikipedia article are included, not the five thousand character catalogue.</w:t>
      </w:r>
    </w:p>
    <w:p>
      <w:pPr>
        <w:pStyle w:val="ListBullet"/>
      </w:pPr>
      <w:r>
        <w:rPr>
          <w:b/>
        </w:rPr>
        <w:t>Uncertainty:</w:t>
      </w:r>
      <w:r>
        <w:t xml:space="preserve"> Sixteen nodes is a small sample and the differences in coupling are narrow: 0.52 to 0.66 across the whole cast, so only the ends of that ranking should be read as meaningful and the middle should not. The edge threshold is a visualisation choice at the 75th percentile, not a measurement, and a different quantile would redraw the picture without changing the conclusion that no communities exist. Co-movement in article views is also not co-purchase; no sales data was available to test whether attention that moves together converts together.</w:t>
      </w:r>
    </w:p>
    <w:p>
      <w:pPr>
        <w:pStyle w:val="ListBullet"/>
      </w:pPr>
      <w:r>
        <w:rPr>
          <w:b/>
        </w:rPr>
        <w:t>Figure:</w:t>
      </w:r>
      <w:r>
        <w:t xml:space="preserve"> </w:t>
      </w:r>
      <w:r>
        <w:rPr>
          <w:rFonts w:ascii="Consolas" w:hAnsi="Consolas"/>
          <w:color w:val="0E7C86"/>
          <w:sz w:val="19"/>
        </w:rPr>
        <w:t>images/figures/character_attention_network.png</w:t>
      </w:r>
    </w:p>
    <w:p>
      <w:pPr>
        <w:pStyle w:val="ListBullet"/>
      </w:pPr>
      <w:r>
        <w:rPr>
          <w:b/>
        </w:rPr>
        <w:t>Table:</w:t>
      </w:r>
      <w:r>
        <w:t xml:space="preserve"> </w:t>
      </w:r>
      <w:r>
        <w:rPr>
          <w:rFonts w:ascii="Consolas" w:hAnsi="Consolas"/>
          <w:color w:val="0E7C86"/>
          <w:sz w:val="19"/>
        </w:rPr>
        <w:t>outputs/tables/character_centrality.csv</w:t>
      </w:r>
    </w:p>
    <w:p>
      <w:pPr>
        <w:pStyle w:val="Heading2"/>
      </w:pPr>
      <w:r>
        <w:t>3.1 Narrative tone and season one: which characters the first season can sell</w:t>
      </w:r>
    </w:p>
    <w:p>
      <w:r>
        <w:t>Season one adapts Philosopher's Stone, and that constrains a season one buy in a way attention data alone does not show. Of the 16 main characters with measured attention, 6 are never named in that book's chapter summaries, and they carry 15% of the cast's total attention between them, led by Luna Lovegood, Bellatrix Lestrange, Sirius Black. That list is not perfectly reliable: Neville Longbottom is in book one but is named in none of the seventeen summaries, so the method misses him. Tone within the book runs positive on average at +0.28 with the darkest chapter at -0.71, so a season one range should skew to the lighter, younger end of the line rather than to the darker characters that dominate current search attention.</w:t>
      </w:r>
    </w:p>
    <w:p>
      <w:pPr>
        <w:pStyle w:val="ListBullet"/>
      </w:pPr>
      <w:r>
        <w:rPr>
          <w:b/>
        </w:rPr>
        <w:t>Evidence:</w:t>
      </w:r>
      <w:r>
        <w:t xml:space="preserve"> VADER lexicon sentiment over 17 PotterDB chapter summaries, plus character presence from case-insensitive word-boundary name matching in those summaries, joined to measured Wikipedia attention per character.</w:t>
      </w:r>
    </w:p>
    <w:p>
      <w:pPr>
        <w:pStyle w:val="ListBullet"/>
      </w:pPr>
      <w:r>
        <w:rPr>
          <w:b/>
        </w:rPr>
        <w:t>Sample:</w:t>
      </w:r>
      <w:r>
        <w:t xml:space="preserve"> 17 chapters, all from book one, median 92 words per summary. 16 characters, being those with both a mapped Wikipedia article and measured attention.</w:t>
      </w:r>
    </w:p>
    <w:p>
      <w:pPr>
        <w:pStyle w:val="ListBullet"/>
      </w:pPr>
      <w:r>
        <w:rPr>
          <w:b/>
        </w:rPr>
        <w:t>Uncertainty:</w:t>
      </w:r>
      <w:r>
        <w:t xml:space="preserve"> The sample is the headline limitation. PotterDB carries chapter summaries for book one only: the other 182 chapter records exist with an empty summary field, so the tone arc across the series that this module set out to measure cannot be measured at all, and only the book season one adapts has any text. Seventeen short summaries are also a thin basis for character presence, and the method has a demonstrated false negative in Neville Longbottom, who is in the book but is named in none of them. Presence is therefore a floor rather than a measurement, and the absent list should be read as 'not prominent enough to reach a summary' rather than 'not in the book'. This is also not the analysis module 3.1 specifies, which needs fan review text scored over calendar time against an announcement timeline; that corpus was never collected for want of Reddit credentials. No trained classifier checks the lexicon either, because that needs labelled sentiment data this project does not have, and hand-labelling would mean inventing the ground truth then marking my own work. Module 5.4 demonstrates a trained classifier on data with real labels. VADER is tuned for social media rather than encyclopedic prose, so tone values are best read relatively.</w:t>
      </w:r>
    </w:p>
    <w:p>
      <w:pPr>
        <w:pStyle w:val="ListBullet"/>
      </w:pPr>
      <w:r>
        <w:rPr>
          <w:b/>
        </w:rPr>
        <w:t>Figure:</w:t>
      </w:r>
      <w:r>
        <w:t xml:space="preserve"> </w:t>
      </w:r>
      <w:r>
        <w:rPr>
          <w:rFonts w:ascii="Consolas" w:hAnsi="Consolas"/>
          <w:color w:val="0E7C86"/>
          <w:sz w:val="19"/>
        </w:rPr>
        <w:t>images/figures/character_presence_vs_attention.png</w:t>
      </w:r>
    </w:p>
    <w:p>
      <w:pPr>
        <w:pStyle w:val="ListBullet"/>
      </w:pPr>
      <w:r>
        <w:rPr>
          <w:b/>
        </w:rPr>
        <w:t>Table:</w:t>
      </w:r>
      <w:r>
        <w:t xml:space="preserve"> </w:t>
      </w:r>
      <w:r>
        <w:rPr>
          <w:rFonts w:ascii="Consolas" w:hAnsi="Consolas"/>
          <w:color w:val="0E7C86"/>
          <w:sz w:val="19"/>
        </w:rPr>
        <w:t>outputs/tables/character_presence_by_book.csv</w:t>
      </w:r>
    </w:p>
    <w:p>
      <w:pPr>
        <w:pStyle w:val="Heading2"/>
      </w:pPr>
      <w:r>
        <w:t>5.1 Interest forecast: how much attention the premiere brings, and when</w:t>
      </w:r>
    </w:p>
    <w:p>
      <w:r>
        <w:t>On a held out final year, Prophet was the most accurate of the five approaches at 13 per cent mean absolute percentage error against the seasonal naive baseline's 41 per cent, and 4 of the four fitted models beat that baseline. Carrying the counterfactual forward and imposing an event response measured from real franchise events gives a central scenario peaking at 342,018 weekly views, 2.5 times the mean of the last observed year, with a low to high range of 219,703 to 534,695. Attention in the five weeks after the premiere runs at 1.8 times its level during the gift buying window that precedes it, which is the number the January stock position argument rests on.</w:t>
      </w:r>
    </w:p>
    <w:p>
      <w:pPr>
        <w:pStyle w:val="ListBullet"/>
      </w:pPr>
      <w:r>
        <w:rPr>
          <w:b/>
        </w:rPr>
        <w:t>Evidence:</w:t>
      </w:r>
      <w:r>
        <w:t xml:space="preserve"> Five models compared on a time based split with the final 52 weeks held out: seasonal naive, drift naive, Holt-Winters, SARIMA and Prophet. Metrics in outputs/tables/forecast_model_metrics.csv. The premiere response is imposed rather than fitted, using peak and sustained multiples measured in 21_event_study.py.</w:t>
      </w:r>
    </w:p>
    <w:p>
      <w:pPr>
        <w:pStyle w:val="ListBullet"/>
      </w:pPr>
      <w:r>
        <w:rPr>
          <w:b/>
        </w:rPr>
        <w:t>Sample:</w:t>
      </w:r>
      <w:r>
        <w:t xml:space="preserve"> 577 weekly observations from 2015-08-10 to 2026-08-24, summed across 4 Wikipedia articles. Forecast horizon 69 weeks.</w:t>
      </w:r>
    </w:p>
    <w:p>
      <w:pPr>
        <w:pStyle w:val="ListBullet"/>
      </w:pPr>
      <w:r>
        <w:rPr>
          <w:b/>
        </w:rPr>
        <w:t>Uncertainty:</w:t>
      </w:r>
      <w:r>
        <w:t xml:space="preserve"> The three scenarios are not confidence intervals and must never be described as such. They are three readings of an event response measured on four events, only one of which involved this show, and none of which was a streaming premiere. The statistical part of the forecast carries ordinary forecast error, shown by the held out scores; the event part carries assumption risk that no held out test can measure. The gap between the low and high scenarios reflects that honestly, and the true outcome can fall outside it.</w:t>
      </w:r>
    </w:p>
    <w:p>
      <w:pPr>
        <w:pStyle w:val="ListBullet"/>
      </w:pPr>
      <w:r>
        <w:rPr>
          <w:b/>
        </w:rPr>
        <w:t>Figure:</w:t>
      </w:r>
      <w:r>
        <w:t xml:space="preserve"> </w:t>
      </w:r>
      <w:r>
        <w:rPr>
          <w:rFonts w:ascii="Consolas" w:hAnsi="Consolas"/>
          <w:color w:val="0E7C86"/>
          <w:sz w:val="19"/>
        </w:rPr>
        <w:t>images/figures/forecast_scenarios.png</w:t>
      </w:r>
    </w:p>
    <w:p>
      <w:pPr>
        <w:pStyle w:val="ListBullet"/>
      </w:pPr>
      <w:r>
        <w:rPr>
          <w:b/>
        </w:rPr>
        <w:t>Table:</w:t>
      </w:r>
      <w:r>
        <w:t xml:space="preserve"> </w:t>
      </w:r>
      <w:r>
        <w:rPr>
          <w:rFonts w:ascii="Consolas" w:hAnsi="Consolas"/>
          <w:color w:val="0E7C86"/>
          <w:sz w:val="19"/>
        </w:rPr>
        <w:t>outputs/tables/demand_scenarios.csv</w:t>
      </w:r>
    </w:p>
    <w:p>
      <w:pPr>
        <w:pStyle w:val="Heading2"/>
      </w:pPr>
      <w:r>
        <w:t>5.2 Interest to sales: the bridge, and how much weight it will bear</w:t>
      </w:r>
    </w:p>
    <w:p>
      <w:r>
        <w:t>Once the general Canadian retail cycle and the month of year are controlled for, franchise attention adds +0.003 to the adjusted R squared of a model of category sales, moving it from 0.929 to 0.932. The strongest relationship sits at a 2 month lag with an elasticity of 0.051, meaning a ten per cent rise in attention is associated with a 0.51 per cent change in category sales, and that coefficient is not distinguishable from zero at the five per cent level. The honest reading is that this series cannot detect a franchise effect at all, and module 6 therefore converts attention into an order quantity through a stated assumption rather than through this elasticity.</w:t>
      </w:r>
    </w:p>
    <w:p>
      <w:pPr>
        <w:pStyle w:val="ListBullet"/>
      </w:pPr>
      <w:r>
        <w:rPr>
          <w:b/>
        </w:rPr>
        <w:t>Evidence:</w:t>
      </w:r>
      <w:r>
        <w:t xml:space="preserve"> Log-log OLS of real category sales (NAICS 459A) on lagged franchise attention, controlling for log total Canadian retail sales and month of year dummies, with Newey-West standard errors at six lags to account for autocorrelation. Lags of zero to three months each fitted and compared against a controls-only baseline.</w:t>
      </w:r>
    </w:p>
    <w:p>
      <w:pPr>
        <w:pStyle w:val="ListBullet"/>
      </w:pPr>
      <w:r>
        <w:rPr>
          <w:b/>
        </w:rPr>
        <w:t>Sample:</w:t>
      </w:r>
      <w:r>
        <w:t xml:space="preserve"> 107 monthly observations after lagging, from 2015-08 to 2026-06. March 2020 to June 2021 excluded as pandemic months.</w:t>
      </w:r>
    </w:p>
    <w:p>
      <w:pPr>
        <w:pStyle w:val="ListBullet"/>
      </w:pPr>
      <w:r>
        <w:rPr>
          <w:b/>
        </w:rPr>
        <w:t>Uncertainty:</w:t>
      </w:r>
      <w:r>
        <w:t xml:space="preserve"> This relationship is correlational and must be described that way everywhere it appears. It is measured at category level, and wizarding product is a small part of NAICS 459A, so the elasticity understates the effect on the specific products a buyer would order while overstating how confidently it can be applied to them. The confidence interval is in the table and the improvement over the controls-only baseline is small. Any order quantity derived from it inherits all of that, which is why module 6 carries a range rather than a point.</w:t>
      </w:r>
    </w:p>
    <w:p>
      <w:pPr>
        <w:pStyle w:val="ListBullet"/>
      </w:pPr>
      <w:r>
        <w:rPr>
          <w:b/>
        </w:rPr>
        <w:t>Figure:</w:t>
      </w:r>
      <w:r>
        <w:t xml:space="preserve"> </w:t>
      </w:r>
      <w:r>
        <w:rPr>
          <w:rFonts w:ascii="Consolas" w:hAnsi="Consolas"/>
          <w:color w:val="0E7C86"/>
          <w:sz w:val="19"/>
        </w:rPr>
        <w:t>images/figures/interest_to_sales_lags.png</w:t>
      </w:r>
    </w:p>
    <w:p>
      <w:pPr>
        <w:pStyle w:val="ListBullet"/>
      </w:pPr>
      <w:r>
        <w:rPr>
          <w:b/>
        </w:rPr>
        <w:t>Table:</w:t>
      </w:r>
      <w:r>
        <w:t xml:space="preserve"> </w:t>
      </w:r>
      <w:r>
        <w:rPr>
          <w:rFonts w:ascii="Consolas" w:hAnsi="Consolas"/>
          <w:color w:val="0E7C86"/>
          <w:sz w:val="19"/>
        </w:rPr>
        <w:t>outputs/tables/interest_to_sales_lags.csv</w:t>
      </w:r>
    </w:p>
    <w:p>
      <w:pPr>
        <w:pStyle w:val="Heading2"/>
      </w:pPr>
      <w:r>
        <w:t>5.4 Text classifier: predicting spell category from description</w:t>
      </w:r>
    </w:p>
    <w:p>
      <w:r>
        <w:t>The classifier does not beat its baseline on accuracy, and section 11 requires that be said plainly: it scores 51% against 57% for a model that always guesses Charm. That is not the whole story, because Charm is 57% of the data and a model that only ever says Charm is useless whatever its accuracy. On macro F1, which weights every class equally, the classifier scores 0.38 against the baseline's 0.09, so it has learned something real about seven classes while giving up accuracy on the eighth. It handles Transfiguration well (F1 0.71) and Spell poorly (F1 0.12), which is what a median of 4 words per description supports, in a source that applies the jinx and hex labels inconsistently to begin with.</w:t>
      </w:r>
    </w:p>
    <w:p>
      <w:pPr>
        <w:pStyle w:val="ListBullet"/>
      </w:pPr>
      <w:r>
        <w:rPr>
          <w:b/>
        </w:rPr>
        <w:t>Evidence:</w:t>
      </w:r>
      <w:r>
        <w:t xml:space="preserve"> TF-IDF over character n-grams into logistic regression with balanced class weights, evaluated by 5-fold stratified cross validation against a majority-class baseline. Accuracy, macro F1, per-class precision and recall, and a confusion matrix all reported, per section 11.</w:t>
      </w:r>
    </w:p>
    <w:p>
      <w:pPr>
        <w:pStyle w:val="ListBullet"/>
      </w:pPr>
      <w:r>
        <w:rPr>
          <w:b/>
        </w:rPr>
        <w:t>Sample:</w:t>
      </w:r>
      <w:r>
        <w:t xml:space="preserve"> 315 spells across 8 categories, each with a non-empty effect description, median 4 words. Classes with fewer than 10 examples were dropped as unevaluable.</w:t>
      </w:r>
    </w:p>
    <w:p>
      <w:pPr>
        <w:pStyle w:val="ListBullet"/>
      </w:pPr>
      <w:r>
        <w:rPr>
          <w:b/>
        </w:rPr>
        <w:t>Uncertainty:</w:t>
      </w:r>
      <w:r>
        <w:t xml:space="preserve"> This is not the model the brief asked for. Module 5.4 specifies a sentiment classifier trained on fan review text, and that corpus was never collected because it needs Reddit credentials this project does not have. Rather than invent labels for text that does not exist, the same evaluation was run on a genuine labelled classification task the project already owns. It demonstrates the method and it is honestly labelled, but it answers no commercial question and nothing downstream depends on it. The labels are also free text applied inconsistently by the source, which puts a ceiling on any score reported here. The headline comparison is genuinely ambiguous: the model is worse than the baseline by one measure and better by another, and which matters depends on whether identifying rare classes is worth anything. Here it is not, because nothing downstream uses the output.</w:t>
      </w:r>
    </w:p>
    <w:p>
      <w:pPr>
        <w:pStyle w:val="ListBullet"/>
      </w:pPr>
      <w:r>
        <w:rPr>
          <w:b/>
        </w:rPr>
        <w:t>Figure:</w:t>
      </w:r>
      <w:r>
        <w:t xml:space="preserve"> </w:t>
      </w:r>
      <w:r>
        <w:rPr>
          <w:rFonts w:ascii="Consolas" w:hAnsi="Consolas"/>
          <w:color w:val="0E7C86"/>
          <w:sz w:val="19"/>
        </w:rPr>
        <w:t>images/figures/spell_classifier_confusion.png</w:t>
      </w:r>
    </w:p>
    <w:p>
      <w:pPr>
        <w:pStyle w:val="ListBullet"/>
      </w:pPr>
      <w:r>
        <w:rPr>
          <w:b/>
        </w:rPr>
        <w:t>Table:</w:t>
      </w:r>
      <w:r>
        <w:t xml:space="preserve"> </w:t>
      </w:r>
      <w:r>
        <w:rPr>
          <w:rFonts w:ascii="Consolas" w:hAnsi="Consolas"/>
          <w:color w:val="0E7C86"/>
          <w:sz w:val="19"/>
        </w:rPr>
        <w:t>outputs/tables/spell_classifier_metrics.csv</w:t>
      </w:r>
    </w:p>
    <w:p>
      <w:pPr>
        <w:pStyle w:val="Heading2"/>
      </w:pPr>
      <w:r>
        <w:t>6 Gringotts: the buy, the split and the order date</w:t>
      </w:r>
    </w:p>
    <w:p>
      <w:r>
        <w:t>Commit a wizarding category buy of $2,486,052 at retail for the November 2026 to March 2027 season, about 73,119 units at an average $34 retail, and hold between 50% and 60% of it for a January position: 60% maximises expected profit at $868,032, while 50% gives up $8,320 of that to lift the worst case by $17,548, rather than committing the buy to the pre-Christmas window as the category normally would. The range around that buy is $1,938,234 to $2,602,889 depending on how large the premiere response turns out to be. Note that 3 of the six order-by dates have already passed, including imported product for the January position, which was due 2026-08-27. Those positions can now only be filled by air freight or by substituting domestic product, both at a worse margin, and that is a cost of having started the analysis in September rather than in spring. The case for holding stock back rests on where the incremental sales fall: 100% of the premiere-driven uplift in the central scenario lands from December onward, in the weeks when the category normally runs at 0.86 times an average month and stock is usually being cleared. The cost assumptions also argue against a cautious buy: a lost sale costs 0.48 per retail dollar against 0.04 for a marked down one, which implies a 93% service level rather than the 95% the brief defaults to, so the error worth avoiding here is running out, not overbuying.</w:t>
      </w:r>
    </w:p>
    <w:p>
      <w:pPr>
        <w:pStyle w:val="ListBullet"/>
      </w:pPr>
      <w:r>
        <w:rPr>
          <w:b/>
        </w:rPr>
        <w:t>Evidence:</w:t>
      </w:r>
      <w:r>
        <w:t xml:space="preserve"> A stated annual category baseline of $4,200,000 spread across months by the measured category seasonality from module 3.3, multiplied by the attention uplift from module 5.1 through a stated pass-through of 35%, then sized with a newsvendor critical ratio from the cost assumptions. Every assumption is in outputs/tables/retail_assumptions.csv with its config key.</w:t>
      </w:r>
    </w:p>
    <w:p>
      <w:pPr>
        <w:pStyle w:val="ListBullet"/>
      </w:pPr>
      <w:r>
        <w:rPr>
          <w:b/>
        </w:rPr>
        <w:t>Sample:</w:t>
      </w:r>
      <w:r>
        <w:t xml:space="preserve"> Five months of demand profile across three scenarios. The seasonal shape rests on 35 years of Canadian retail data; the attention uplift on 11 years of pageviews and four measured franchise events.</w:t>
      </w:r>
    </w:p>
    <w:p>
      <w:pPr>
        <w:pStyle w:val="ListBullet"/>
      </w:pPr>
      <w:r>
        <w:rPr>
          <w:b/>
        </w:rPr>
        <w:t>Uncertainty:</w:t>
      </w:r>
      <w:r>
        <w:t xml:space="preserve"> The single largest uncertainty is not statistical. It is the pass-through assumption, which module 5.2 could not measure because a national category containing every bookshop in Canada is too coarse to detect one franchise in. At a pass-through of 15% the central season is $1,992,381 and at 70% it is $2,529,305, a spread wider than the gap between the low and high demand scenarios. The category baseline is likewise stated rather than observed, because no retailer's internal sales were available. Everything here is therefore a structured way to reason about the size of the decision, not a prediction of it.</w:t>
      </w:r>
    </w:p>
    <w:p>
      <w:pPr>
        <w:pStyle w:val="ListBullet"/>
      </w:pPr>
      <w:r>
        <w:rPr>
          <w:b/>
        </w:rPr>
        <w:t>Figure:</w:t>
      </w:r>
      <w:r>
        <w:t xml:space="preserve"> </w:t>
      </w:r>
      <w:r>
        <w:rPr>
          <w:rFonts w:ascii="Consolas" w:hAnsi="Consolas"/>
          <w:color w:val="0E7C86"/>
          <w:sz w:val="19"/>
        </w:rPr>
        <w:t>images/figures/retail_monthly_demand_profile.png</w:t>
      </w:r>
    </w:p>
    <w:p>
      <w:pPr>
        <w:pStyle w:val="ListBullet"/>
      </w:pPr>
      <w:r>
        <w:rPr>
          <w:b/>
        </w:rPr>
        <w:t>Table:</w:t>
      </w:r>
      <w:r>
        <w:t xml:space="preserve"> </w:t>
      </w:r>
      <w:r>
        <w:rPr>
          <w:rFonts w:ascii="Consolas" w:hAnsi="Consolas"/>
          <w:color w:val="0E7C86"/>
          <w:sz w:val="19"/>
        </w:rPr>
        <w:t>outputs/tables/retail_january_reserve_tradeoff.csv</w:t>
      </w:r>
    </w:p>
    <w:p>
      <w:pPr>
        <w:pStyle w:val="Heading2"/>
      </w:pPr>
      <w:r>
        <w:t>7 The Chamber: pandas against Dask on the same workload</w:t>
      </w:r>
    </w:p>
    <w:p>
      <w:r>
        <w:t>The out-of-core engine lost, at every size tested, on both measures. On a join-and-aggregate over 12.5 million rows pandas takes 3.5 seconds against Dask's 41.6, a factor of 12.1, and it also uses less memory: 1,376 MB of peak tracked allocation against 1,728 MB, so Dask's partitioning cost 1.3 times the memory rather than saving any. Section 13 asks for the point at which the single-machine approach becomes impractical, and the honest answer is that it was never reached: pandas processed 12.5 million rows in under ten seconds on a laptop. The reading for this project is that its data does not need distributed tooling, and that reaching for it here would be the vocabulary of large scale processing rather than the substance of it, which is precisely what section 13 warns against.</w:t>
      </w:r>
    </w:p>
    <w:p>
      <w:pPr>
        <w:pStyle w:val="ListBullet"/>
      </w:pPr>
      <w:r>
        <w:rPr>
          <w:b/>
        </w:rPr>
        <w:t>Evidence:</w:t>
      </w:r>
      <w:r>
        <w:t xml:space="preserve"> An identical join and group-by run on both engines at 4 corpus sizes from 1.56m rows upward, timed with a monotonic clock and measured with tracemalloc. Full results in outputs/tables/bigdata_engine_comparison.csv.</w:t>
      </w:r>
    </w:p>
    <w:p>
      <w:pPr>
        <w:pStyle w:val="ListBullet"/>
      </w:pPr>
      <w:r>
        <w:rPr>
          <w:b/>
        </w:rPr>
        <w:t>Sample:</w:t>
      </w:r>
      <w:r>
        <w:t xml:space="preserve"> 1,556,894 real rows: Rebrickable's complete part inventory, every part in every set in the catalogue, joined to 28,178 set records. Larger sizes are that corpus replicated 2, 4 and 8 times with a distinct replica key, so the grouping work scales rather than collapsing.</w:t>
      </w:r>
    </w:p>
    <w:p>
      <w:pPr>
        <w:pStyle w:val="ListBullet"/>
      </w:pPr>
      <w:r>
        <w:rPr>
          <w:b/>
        </w:rPr>
        <w:t>Uncertainty:</w:t>
      </w:r>
      <w:r>
        <w:t xml:space="preserve"> This is not the corpus the brief specifies. Section 13 asks for fan discussion text, which needs Reddit credentials this project does not have, and an attempt to build a large Wikipedia article corpus instead was stopped when the API rate-limited this address to roughly one request a minute. The workload here is therefore a tabular aggregation rather than token frequency and sentiment scoring, which exercises the same join-and-group-by machinery but not the text handling. The scaling points above 1.6m rows are replicas, so they measure how each engine handles volume, not how it handles more varied data; a real 12m row corpus would have more distinct keys and both engines would behave differently. tracemalloc measures Python-allocator memory, not the process resident set, so the memory figures understate absolute usage and should be read as a comparison between engines rather than as a system measurement. The result would very likely reverse on data that did not fit in memory, which is the case Dask exists for and which this project cannot reach without a corpus it is not able to obtain. Both engines also ran on one machine with Dask's threaded scheduler, which is the honest configuration for a laptop but is not what Dask is built for.</w:t>
      </w:r>
    </w:p>
    <w:p>
      <w:pPr>
        <w:pStyle w:val="ListBullet"/>
      </w:pPr>
      <w:r>
        <w:rPr>
          <w:b/>
        </w:rPr>
        <w:t>Figure:</w:t>
      </w:r>
      <w:r>
        <w:t xml:space="preserve"> </w:t>
      </w:r>
      <w:r>
        <w:rPr>
          <w:rFonts w:ascii="Consolas" w:hAnsi="Consolas"/>
          <w:color w:val="0E7C86"/>
          <w:sz w:val="19"/>
        </w:rPr>
        <w:t>images/figures/bigdata_runtime_by_corpus_size.png</w:t>
      </w:r>
    </w:p>
    <w:p>
      <w:pPr>
        <w:pStyle w:val="ListBullet"/>
      </w:pPr>
      <w:r>
        <w:rPr>
          <w:b/>
        </w:rPr>
        <w:t>Table:</w:t>
      </w:r>
      <w:r>
        <w:t xml:space="preserve"> </w:t>
      </w:r>
      <w:r>
        <w:rPr>
          <w:rFonts w:ascii="Consolas" w:hAnsi="Consolas"/>
          <w:color w:val="0E7C86"/>
          <w:sz w:val="19"/>
        </w:rPr>
        <w:t>outputs/tables/bigdata_engine_comparison.csv</w:t>
      </w:r>
    </w:p>
    <w:p>
      <w:pPr>
        <w:pStyle w:val="Heading2"/>
      </w:pPr>
      <w:r>
        <w:t>4 The Houses: product archetypes, and where the branded line sits</w:t>
      </w:r>
    </w:p>
    <w:p>
      <w:r>
        <w:t>Clustering 14,950 construction sets on how they are built, with no knowledge of which are branded, produces 4 archetypes at a silhouette of 0.392. The wizarding line is not spread across them: 63% of its sets fall in the 'large, character-led, repetitive build' segment, which is 30% of the catalogue overall. Its median set has 394 pieces and 3 minifigures against a catalogue median of 73 pieces, so the line is a character-led, mid-size proposition rather than a large-build one, and a season one range should be bought as gift-priced character product rather than as centrepiece models.</w:t>
      </w:r>
    </w:p>
    <w:p>
      <w:pPr>
        <w:pStyle w:val="ListBullet"/>
      </w:pPr>
      <w:r>
        <w:rPr>
          <w:b/>
        </w:rPr>
        <w:t>Evidence:</w:t>
      </w:r>
      <w:r>
        <w:t xml:space="preserve"> k-means on six construction features (piece count, minifigure count, distinct parts, distinct colours, and two derived ratios), standardised, with the heavy tailed counts log scaled first. k chosen from silhouette and a numerically located elbow, both plotted. The branded flag is held out of the feature set so the model cannot simply learn to separate the line it is being asked about.</w:t>
      </w:r>
    </w:p>
    <w:p>
      <w:pPr>
        <w:pStyle w:val="ListBullet"/>
      </w:pPr>
      <w:r>
        <w:rPr>
          <w:b/>
        </w:rPr>
        <w:t>Sample:</w:t>
      </w:r>
      <w:r>
        <w:t xml:space="preserve"> 14,950 sets from 2001 to 2027 with a non-zero piece count, of which 245 are the wizarding line. Features derived from the 1.56 million row part inventory.</w:t>
      </w:r>
    </w:p>
    <w:p>
      <w:pPr>
        <w:pStyle w:val="ListBullet"/>
      </w:pPr>
      <w:r>
        <w:rPr>
          <w:b/>
        </w:rPr>
        <w:t>Uncertainty:</w:t>
      </w:r>
      <w:r>
        <w:t xml:space="preserve"> This is a segmentation of products, not of audiences, and module 4 asks for audiences. That analysis needs the Reddit corpus, which this project has no credentials for, and there is no way to segment people without data about people; the generation comparison the brief also asks for is therefore not attempted at all. A silhouette of 0.392 is modest, which means the archetypes are real but not sharply separated, and sets near a boundary could reasonably belong to either side. The features describe how a set is built, not how it sells: no sales or price data was available to check whether construction archetypes correspond to commercial ones, so the stocking reading at the end is an inference from product design rather than a measured relationship. House labels are cosmetic, applied after the clusters were fitted and profiled, and carry no meaning.</w:t>
      </w:r>
    </w:p>
    <w:p>
      <w:pPr>
        <w:pStyle w:val="ListBullet"/>
      </w:pPr>
      <w:r>
        <w:rPr>
          <w:b/>
        </w:rPr>
        <w:t>Figure:</w:t>
      </w:r>
      <w:r>
        <w:t xml:space="preserve"> </w:t>
      </w:r>
      <w:r>
        <w:rPr>
          <w:rFonts w:ascii="Consolas" w:hAnsi="Consolas"/>
          <w:color w:val="0E7C86"/>
          <w:sz w:val="19"/>
        </w:rPr>
        <w:t>images/figures/segmentation_profiles.png</w:t>
      </w:r>
    </w:p>
    <w:p>
      <w:pPr>
        <w:pStyle w:val="ListBullet"/>
      </w:pPr>
      <w:r>
        <w:rPr>
          <w:b/>
        </w:rPr>
        <w:t>Table:</w:t>
      </w:r>
      <w:r>
        <w:t xml:space="preserve"> </w:t>
      </w:r>
      <w:r>
        <w:rPr>
          <w:rFonts w:ascii="Consolas" w:hAnsi="Consolas"/>
          <w:color w:val="0E7C86"/>
          <w:sz w:val="19"/>
        </w:rPr>
        <w:t>outputs/tables/segment_profiles.csv</w:t>
      </w:r>
    </w:p>
    <w:p>
      <w:pPr>
        <w:pStyle w:val="Heading2"/>
      </w:pPr>
      <w:r>
        <w:t>3.4 and 5.3 Product line: how it scales to releases, and what drives set size</w:t>
      </w:r>
    </w:p>
    <w:p>
      <w:r>
        <w:t>The hypothesis that the licensor visibly scales the line ahead of a release is not supported, and it also cannot be properly tested here. Release years average 12.2 branded sets against 19.3 in years with no release, which is the opposite of the expected direction, but that comparison is confounded: ten of the eleven films landed between 2001 and 2011, when the catalogue was around a third of its present size, so it contrasts two eras rather than two conditions. What can be said is that the current line is not being scaled up in count: 2026 carries 21 sets at 2.9% of the catalogue, in line with the last several years rather than above them, though its median set is the largest in the line's history at 661 pieces against 206 in the film era and 350 across 2018 to 2026. On set size, the branded flag is worth -1.8 per cent once minifigures, colours and year are controlled for, and it is not distinguishable from zero (p = 0.73), so these are built at the same scale as everything else in the catalogue.</w:t>
      </w:r>
    </w:p>
    <w:p>
      <w:pPr>
        <w:pStyle w:val="ListBullet"/>
      </w:pPr>
      <w:r>
        <w:rPr>
          <w:b/>
        </w:rPr>
        <w:t>Evidence:</w:t>
      </w:r>
      <w:r>
        <w:t xml:space="preserve"> Branded set counts, catalogue shares and median piece counts per year from the Rebrickable catalogue, with the catalogue-wide set count as a control so that growth in the line can be told apart from growth in the manufacturer. Plus an OLS of log piece count on year, log minifigures, log distinct colours and a branded flag, with heteroskedasticity-robust standard errors, R squared 0.704 over 14,950 sets.</w:t>
      </w:r>
    </w:p>
    <w:p>
      <w:pPr>
        <w:pStyle w:val="ListBullet"/>
      </w:pPr>
      <w:r>
        <w:rPr>
          <w:b/>
        </w:rPr>
        <w:t>Sample:</w:t>
      </w:r>
      <w:r>
        <w:t xml:space="preserve"> 245 branded sets across 2001 to 2026, within a catalogue of 14,950 sets. Release years taken from the eleven-film table.</w:t>
      </w:r>
    </w:p>
    <w:p>
      <w:pPr>
        <w:pStyle w:val="ListBullet"/>
      </w:pPr>
      <w:r>
        <w:rPr>
          <w:b/>
        </w:rPr>
        <w:t>Uncertainty:</w:t>
      </w:r>
      <w:r>
        <w:t xml:space="preserve"> Neither module 3.4 nor module 5.3 is delivered as specified, and this does not substitute for either. Both need retail price, the only source is Brickset, and that needs an API key this project does not have; Rebrickable carries no price field at all. So the licensing premium remains completely untested, and nothing here says anything about price or margin. The release-year comparison is a description of eleven films' worth of years, not a model, and with that few release years the averages move materially if one year is reclassified. The set-size regression answers a weaker question than the price model would and nothing downstream consumes it. A season one line may also be announced after this data was collected on 2 September 2026, which would raise the 2026 count.</w:t>
      </w:r>
    </w:p>
    <w:p>
      <w:pPr>
        <w:pStyle w:val="ListBullet"/>
      </w:pPr>
      <w:r>
        <w:rPr>
          <w:b/>
        </w:rPr>
        <w:t>Figure:</w:t>
      </w:r>
      <w:r>
        <w:t xml:space="preserve"> </w:t>
      </w:r>
      <w:r>
        <w:rPr>
          <w:rFonts w:ascii="Consolas" w:hAnsi="Consolas"/>
          <w:color w:val="0E7C86"/>
          <w:sz w:val="19"/>
        </w:rPr>
        <w:t>images/figures/product_line_by_year.png</w:t>
      </w:r>
    </w:p>
    <w:p>
      <w:pPr>
        <w:pStyle w:val="ListBullet"/>
      </w:pPr>
      <w:r>
        <w:rPr>
          <w:b/>
        </w:rPr>
        <w:t>Table:</w:t>
      </w:r>
      <w:r>
        <w:t xml:space="preserve"> </w:t>
      </w:r>
      <w:r>
        <w:rPr>
          <w:rFonts w:ascii="Consolas" w:hAnsi="Consolas"/>
          <w:color w:val="0E7C86"/>
          <w:sz w:val="19"/>
        </w:rPr>
        <w:t>outputs/tables/product_line_by_year.csv</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Segoe UI" w:hAnsi="Segoe UI"/>
      <w:color w:val="10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Segoe UI" w:hAnsi="Segoe UI"/>
      <w:b/>
      <w:bCs/>
      <w:color w:val="0E7C86"/>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Segoe UI" w:hAnsi="Segoe UI"/>
      <w:b/>
      <w:bCs/>
      <w:color w:val="10262B"/>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Segoe UI" w:hAnsi="Segoe UI"/>
      <w:b/>
      <w:bCs/>
      <w:color w:val="1026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