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E7C86"/>
          <w:sz w:val="52"/>
        </w:rPr>
        <w:t>Open questions</w:t>
      </w:r>
    </w:p>
    <w:p>
      <w:r>
        <w:rPr>
          <w:color w:val="5F7A80"/>
          <w:sz w:val="25"/>
        </w:rPr>
        <w:t>Decisions reserved for a person, and the default I am using meanwhile.</w:t>
      </w:r>
    </w:p>
    <w:p/>
    <w:p>
      <w:pPr>
        <w:spacing w:after="40"/>
      </w:pPr>
      <w:r>
        <w:rPr>
          <w:color w:val="5F7A80"/>
          <w:sz w:val="19"/>
        </w:rPr>
        <w:t>Nusrat Jahan</w:t>
      </w:r>
    </w:p>
    <w:p>
      <w:pPr>
        <w:spacing w:after="40"/>
      </w:pPr>
      <w:r>
        <w:rPr>
          <w:color w:val="5F7A80"/>
          <w:sz w:val="19"/>
        </w:rPr>
        <w:t>Master of Business Analytics and AI, Ontario Tech University</w:t>
      </w:r>
    </w:p>
    <w:p>
      <w:pPr>
        <w:spacing w:after="40"/>
      </w:pPr>
      <w:r>
        <w:rPr>
          <w:color w:val="5F7A80"/>
          <w:sz w:val="19"/>
        </w:rPr>
        <w:t>Generated 17 October 2026</w:t>
      </w:r>
    </w:p>
    <w:p/>
    <w:p>
      <w:r>
        <w:t>When I planned this project I left six decisions open, because each one needs a judgement call and not only analysis. I carry each one below forward using a stated default so the build is not blocked. I do not treat any default as final.</w:t>
      </w:r>
    </w:p>
    <w:p>
      <w:r>
        <w:t>Three further questions came up while I was building, and I list them after the six I expected from the start.</w:t>
      </w:r>
    </w:p>
    <w:p>
      <w:pPr>
        <w:pStyle w:val="Heading2"/>
      </w:pPr>
      <w:r>
        <w:t>Left open in my plan</w:t>
      </w:r>
    </w:p>
    <w:p>
      <w:pPr>
        <w:pStyle w:val="Heading3"/>
      </w:pPr>
      <w:r>
        <w:t>1. Should the client be an unnamed composite retailer or a named proxy company?</w:t>
      </w:r>
    </w:p>
    <w:p>
      <w:r>
        <w:rPr>
          <w:b/>
        </w:rPr>
        <w:t>Default I am using:</w:t>
      </w:r>
      <w:r>
        <w:t xml:space="preserve"> unnamed composite, with a listed retailer used only where a financial benchmark is genuinely needed, and named as a proxy when it is.</w:t>
      </w:r>
    </w:p>
    <w:p>
      <w:r>
        <w:rPr>
          <w:b/>
        </w:rPr>
        <w:t>Why it matters:</w:t>
      </w:r>
      <w:r>
        <w:t xml:space="preserve"> naming a real company invites the reader to check my recommendation against that company's actual buying, which I have no visibility into. The composite avoids implying knowledge my analysis does not have.</w:t>
      </w:r>
    </w:p>
    <w:p>
      <w:pPr>
        <w:pStyle w:val="Heading3"/>
      </w:pPr>
      <w:r>
        <w:t>2. Which service level should the safety stock calculation target?</w:t>
      </w:r>
    </w:p>
    <w:p>
      <w:r>
        <w:rPr>
          <w:b/>
        </w:rPr>
        <w:t>Default I am using:</w:t>
      </w:r>
      <w:r>
        <w:t xml:space="preserve"> 95 percent, held in </w:t>
      </w:r>
      <w:r>
        <w:rPr>
          <w:rFonts w:ascii="Consolas" w:hAnsi="Consolas"/>
          <w:color w:val="0E7C86"/>
          <w:sz w:val="19"/>
        </w:rPr>
        <w:t>config.yaml</w:t>
      </w:r>
      <w:r>
        <w:t xml:space="preserve"> as </w:t>
      </w:r>
      <w:r>
        <w:rPr>
          <w:rFonts w:ascii="Consolas" w:hAnsi="Consolas"/>
          <w:color w:val="0E7C86"/>
          <w:sz w:val="19"/>
        </w:rPr>
        <w:t>retail.service_level</w:t>
      </w:r>
      <w:r>
        <w:t xml:space="preserve"> and reported as an assumption everywhere it appears.</w:t>
      </w:r>
    </w:p>
    <w:p>
      <w:r>
        <w:rPr>
          <w:b/>
        </w:rPr>
        <w:t>Why it matters:</w:t>
      </w:r>
      <w:r>
        <w:t xml:space="preserve"> the service level drives the safety stock quantity directly. Moving it to 90 or 99 changes the recommended order, so I expose it in config and show the sensitivity rather than presenting the number as fixed.</w:t>
      </w:r>
    </w:p>
    <w:p>
      <w:pPr>
        <w:pStyle w:val="Heading3"/>
      </w:pPr>
      <w:r>
        <w:t>3. How much of the buy should be reserved for the January position?</w:t>
      </w:r>
    </w:p>
    <w:p>
      <w:r>
        <w:rPr>
          <w:b/>
        </w:rPr>
        <w:t>Default I am using:</w:t>
      </w:r>
      <w:r>
        <w:t xml:space="preserve"> no single figure. I model several proportions (</w:t>
      </w:r>
      <w:r>
        <w:rPr>
          <w:rFonts w:ascii="Consolas" w:hAnsi="Consolas"/>
          <w:color w:val="0E7C86"/>
          <w:sz w:val="19"/>
        </w:rPr>
        <w:t>retail.january_reserve_proportions</w:t>
      </w:r>
      <w:r>
        <w:t>) and present the trade off, as I planned.</w:t>
      </w:r>
    </w:p>
    <w:p>
      <w:r>
        <w:rPr>
          <w:b/>
        </w:rPr>
        <w:t>Why it matters:</w:t>
      </w:r>
      <w:r>
        <w:t xml:space="preserve"> this is the commercial heart of my recommendation, and the right answer depends on the retailer's appetite for markdown risk, which is a business judgement rather than an analytical one.</w:t>
      </w:r>
    </w:p>
    <w:p>
      <w:pPr>
        <w:pStyle w:val="Heading3"/>
      </w:pPr>
      <w:r>
        <w:t>4. Should the segmentation use four clusters to match the four houses?</w:t>
      </w:r>
    </w:p>
    <w:p>
      <w:r>
        <w:rPr>
          <w:b/>
        </w:rPr>
        <w:t>Default I am using:</w:t>
      </w:r>
      <w:r>
        <w:t xml:space="preserve"> no. I let the number of clusters be whatever the silhouette score and the elbow method jointly support, and apply house names afterwards to whatever number results.</w:t>
      </w:r>
    </w:p>
    <w:p>
      <w:r>
        <w:rPr>
          <w:b/>
        </w:rPr>
        <w:t>Why it matters:</w:t>
      </w:r>
      <w:r>
        <w:t xml:space="preserve"> choosing k to fit a theme would be fitting the data to the decoration. I ruled it out in my plan and in my methods note.</w:t>
      </w:r>
    </w:p>
    <w:p>
      <w:pPr>
        <w:pStyle w:val="Heading3"/>
      </w:pPr>
      <w:r>
        <w:t>5. Which currency should be the reporting currency?</w:t>
      </w:r>
    </w:p>
    <w:p>
      <w:r>
        <w:rPr>
          <w:b/>
        </w:rPr>
        <w:t>Default I am using:</w:t>
      </w:r>
      <w:r>
        <w:t xml:space="preserve"> Canadian dollars, since the client is Canadian.</w:t>
      </w:r>
    </w:p>
    <w:p>
      <w:r>
        <w:rPr>
          <w:b/>
        </w:rPr>
        <w:t>Note:</w:t>
      </w:r>
      <w:r>
        <w:t xml:space="preserve"> box office is published in US dollars and I convert it at a single stated rate rather than a historic series, so that inflation and currency movement are not mixed in one column. I keep both the nominal US and the adjusted Canadian columns.</w:t>
      </w:r>
    </w:p>
    <w:p>
      <w:pPr>
        <w:pStyle w:val="Heading3"/>
      </w:pPr>
      <w:r>
        <w:t>6. How far back should the fan text corpus reach?</w:t>
      </w:r>
    </w:p>
    <w:p>
      <w:r>
        <w:rPr>
          <w:b/>
        </w:rPr>
        <w:t>Default I am using:</w:t>
      </w:r>
      <w:r>
        <w:t xml:space="preserve"> as far as the archive allows, with the cut off stated.</w:t>
      </w:r>
    </w:p>
    <w:p>
      <w:r>
        <w:rPr>
          <w:b/>
        </w:rPr>
        <w:t>Currently blocked.</w:t>
      </w:r>
      <w:r>
        <w:t xml:space="preserve"> I collected no fan text, because Reddit requires free application credentials I do not have. See the credentials question below.</w:t>
      </w:r>
    </w:p>
    <w:p>
      <w:pPr>
        <w:pStyle w:val="Heading2"/>
      </w:pPr>
      <w:r>
        <w:t>Raised during the build</w:t>
      </w:r>
    </w:p>
    <w:p>
      <w:pPr>
        <w:pStyle w:val="Heading3"/>
      </w:pPr>
      <w:r>
        <w:t>7. Two free API keys would bring back six analyses</w:t>
      </w:r>
    </w:p>
    <w:p>
      <w:r>
        <w:t>Neither key costs anything and both take a few minutes to obtain, but each one needs an account that I have not set up.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What it unblocks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What happens without it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BRICKSET_API_KEY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Retail prices for the construction toy line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Module 3.4 (licensing premium) and module 5.3 (price model) run as substitutes, with set size in place of price. Piece counts, years and themes are all present; only money is missing.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0E7C86"/>
                <w:sz w:val="18"/>
              </w:rPr>
              <w:t>REDDIT_CLIENT_ID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E7C86"/>
                <w:sz w:val="18"/>
              </w:rPr>
              <w:t>REDDIT_CLIENT_SECRET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E7C86"/>
                <w:sz w:val="18"/>
              </w:rPr>
              <w:t>REDDIT_USER_AGENT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E7C86"/>
                <w:sz w:val="18"/>
              </w:rPr>
              <w:t>REDDIT_HASH_SALT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fan text corpus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Modules 3.1 (sentiment over time), 4 (audience segmentation), 5.4 (sentiment classifier) and 7 (big data on text) run as substitutes on other data.</w:t>
            </w:r>
          </w:p>
        </w:tc>
      </w:tr>
    </w:tbl>
    <w:p/>
    <w:p>
      <w:r>
        <w:t>I did not scrape around either. Both sites publish an API and ask that automated access go through it, and module 8 has to be able to state truthfully that I collected every source the way its owner asked. Scraping around a missing key would make that statement false.</w:t>
      </w:r>
    </w:p>
    <w:p>
      <w:r>
        <w:t>Everything else in the project runs without any credential at all.</w:t>
      </w:r>
    </w:p>
    <w:p>
      <w:pPr>
        <w:pStyle w:val="Heading3"/>
      </w:pPr>
      <w:r>
        <w:t>8. data/cleaned holds two folders that my first folder plan did not name</w:t>
      </w:r>
    </w:p>
    <w:p>
      <w:r>
        <w:t xml:space="preserve">My first folder plan showed </w:t>
      </w:r>
      <w:r>
        <w:rPr>
          <w:rFonts w:ascii="Consolas" w:hAnsi="Consolas"/>
          <w:color w:val="0E7C86"/>
          <w:sz w:val="19"/>
        </w:rPr>
        <w:t>data/cleaned</w:t>
      </w:r>
      <w:r>
        <w:t xml:space="preserve"> with seven source folders. My source list then added film performance and theme park attendance as sources in their own right, both hand entered into </w:t>
      </w:r>
      <w:r>
        <w:rPr>
          <w:rFonts w:ascii="Consolas" w:hAnsi="Consolas"/>
          <w:color w:val="0E7C86"/>
          <w:sz w:val="19"/>
        </w:rPr>
        <w:t>data/external</w:t>
      </w:r>
      <w:r>
        <w:t xml:space="preserve">. Cleaning them has to put the result somewhere, so I created </w:t>
      </w:r>
      <w:r>
        <w:rPr>
          <w:rFonts w:ascii="Consolas" w:hAnsi="Consolas"/>
          <w:color w:val="0E7C86"/>
          <w:sz w:val="19"/>
        </w:rPr>
        <w:t>data/cleaned/films/</w:t>
      </w:r>
      <w:r>
        <w:t xml:space="preserve"> and </w:t>
      </w:r>
      <w:r>
        <w:rPr>
          <w:rFonts w:ascii="Consolas" w:hAnsi="Consolas"/>
          <w:color w:val="0E7C86"/>
          <w:sz w:val="19"/>
        </w:rPr>
        <w:t>data/cleaned/parks/</w:t>
      </w:r>
      <w:r>
        <w:t>, following the names in my source list and not the first folder plan.</w:t>
      </w:r>
    </w:p>
    <w:p>
      <w:r>
        <w:t xml:space="preserve">The alternative would have been to leave cleaned film data in </w:t>
      </w:r>
      <w:r>
        <w:rPr>
          <w:rFonts w:ascii="Consolas" w:hAnsi="Consolas"/>
          <w:color w:val="0E7C86"/>
          <w:sz w:val="19"/>
        </w:rPr>
        <w:t>data/external</w:t>
      </w:r>
      <w:r>
        <w:t xml:space="preserve"> beside the hand entered original, which would break the rule that raw inputs are never edited in place. This seemed to me the smaller departure, but it is a departure, so I record it here rather than pass over it.</w:t>
      </w:r>
    </w:p>
    <w:p>
      <w:r>
        <w:rPr>
          <w:rFonts w:ascii="Consolas" w:hAnsi="Consolas"/>
          <w:color w:val="0E7C86"/>
          <w:sz w:val="19"/>
        </w:rPr>
        <w:t>data/raw/hpapi/</w:t>
      </w:r>
      <w:r>
        <w:t xml:space="preserve"> exists for the same reason: my source list has the HP API as a source with its own </w:t>
      </w:r>
      <w:r>
        <w:rPr>
          <w:rFonts w:ascii="Consolas" w:hAnsi="Consolas"/>
          <w:color w:val="0E7C86"/>
          <w:sz w:val="19"/>
        </w:rPr>
        <w:t>data/raw/hpapi/</w:t>
      </w:r>
      <w:r>
        <w:t xml:space="preserve"> destination, though my first folder plan showed seven folders and not eight.</w:t>
      </w:r>
    </w:p>
    <w:p>
      <w:pPr>
        <w:pStyle w:val="Heading3"/>
      </w:pPr>
      <w:r>
        <w:t>9. src/report/ is a script folder that my first plan did not name</w:t>
      </w:r>
    </w:p>
    <w:p>
      <w:r>
        <w:t xml:space="preserve">My first plan had six script folders and gave analysis the numbers 20 to 29, which is now full. </w:t>
      </w:r>
      <w:r>
        <w:rPr>
          <w:rFonts w:ascii="Consolas" w:hAnsi="Consolas"/>
          <w:color w:val="0E7C86"/>
          <w:sz w:val="19"/>
        </w:rPr>
        <w:t>60_build_report.py</w:t>
      </w:r>
      <w:r>
        <w:t xml:space="preserve"> produces a deliverable rather than an analysis, so I gave it its own folder and number range rather than squeeze it into one that does not describe it.</w:t>
      </w:r>
    </w:p>
    <w:p>
      <w:r>
        <w:t xml:space="preserve">It converts my generated Markdown documentation into Word, which matters because those documents are themselves written by code: </w:t>
      </w:r>
      <w:r>
        <w:rPr>
          <w:rFonts w:ascii="Consolas" w:hAnsi="Consolas"/>
          <w:color w:val="0E7C86"/>
          <w:sz w:val="19"/>
        </w:rPr>
        <w:t>findings.md</w:t>
      </w:r>
      <w:r>
        <w:t xml:space="preserve"> is rewritten by every analysis script, </w:t>
      </w:r>
      <w:r>
        <w:rPr>
          <w:rFonts w:ascii="Consolas" w:hAnsi="Consolas"/>
          <w:color w:val="0E7C86"/>
          <w:sz w:val="19"/>
        </w:rPr>
        <w:t>data_dictionary.md</w:t>
      </w:r>
      <w:r>
        <w:t xml:space="preserve"> by </w:t>
      </w:r>
      <w:r>
        <w:rPr>
          <w:rFonts w:ascii="Consolas" w:hAnsi="Consolas"/>
          <w:color w:val="0E7C86"/>
          <w:sz w:val="19"/>
        </w:rPr>
        <w:t>19_data_dictionary.py</w:t>
      </w:r>
      <w:r>
        <w:t xml:space="preserve">, and </w:t>
      </w:r>
      <w:r>
        <w:rPr>
          <w:rFonts w:ascii="Consolas" w:hAnsi="Consolas"/>
          <w:color w:val="0E7C86"/>
          <w:sz w:val="19"/>
        </w:rPr>
        <w:t>build_log.md</w:t>
      </w:r>
      <w:r>
        <w:t xml:space="preserve"> as modules complete. Running the report last means the Word files always reflect the latest run rather than a version somebody exported once and forgot.</w:t>
      </w:r>
    </w:p>
    <w:p>
      <w:r>
        <w:t xml:space="preserve">For those three, the Markdown remains the single source and the matching </w:t>
      </w:r>
      <w:r>
        <w:rPr>
          <w:rFonts w:ascii="Consolas" w:hAnsi="Consolas"/>
          <w:color w:val="0E7C86"/>
          <w:sz w:val="19"/>
        </w:rPr>
        <w:t>.docx</w:t>
      </w:r>
      <w:r>
        <w:t xml:space="preserve"> in </w:t>
      </w:r>
      <w:r>
        <w:rPr>
          <w:rFonts w:ascii="Consolas" w:hAnsi="Consolas"/>
          <w:color w:val="0E7C86"/>
          <w:sz w:val="19"/>
        </w:rPr>
        <w:t>docs/word/</w:t>
      </w:r>
      <w:r>
        <w:t xml:space="preserve"> is overwritten on every build, so editing one is a mistake; edit the Markdown. I first kept this document, the methods note, the ethics note and the build walkthrough as Word only, because they hold reasoning rather than results. That made them drift: whenever the project changed, the Word files kept describing the old version. So now every document lives as Markdown in </w:t>
      </w:r>
      <w:r>
        <w:rPr>
          <w:rFonts w:ascii="Consolas" w:hAnsi="Consolas"/>
          <w:color w:val="0E7C86"/>
          <w:sz w:val="19"/>
        </w:rPr>
        <w:t>docs/</w:t>
      </w:r>
      <w:r>
        <w:t xml:space="preserve">, and </w:t>
      </w:r>
      <w:r>
        <w:rPr>
          <w:rFonts w:ascii="Consolas" w:hAnsi="Consolas"/>
          <w:color w:val="0E7C86"/>
          <w:sz w:val="19"/>
        </w:rPr>
        <w:t>60_build_report.py</w:t>
      </w:r>
      <w:r>
        <w:t xml:space="preserve"> turns all of them into Word on every run. No script writes the text of the reasoning documents. I edit their Markdown by hand, and the Word copies are only ever outputs.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Segoe UI" w:hAnsi="Segoe UI"/>
      <w:color w:val="10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E7C8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1026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Segoe UI" w:hAnsi="Segoe UI"/>
      <w:b/>
      <w:bCs/>
      <w:color w:val="1026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