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F57A94"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F57A94"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7A94"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F57A94"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F57A94"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F57A94"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F57A94"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F57A94"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F57A94"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0125F7">
            <w:pPr>
              <w:rPr>
                <w:lang w:val="de-CH"/>
              </w:rPr>
            </w:pPr>
            <w:r>
              <w:rPr>
                <w:lang w:val="de-CH"/>
              </w:rPr>
              <w:t>10:00-12:00,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F57A94"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F57A94"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 xml:space="preserve">Probanden werden durch unterschiedlich parametrisierte </w:t>
            </w:r>
            <w:proofErr w:type="spellStart"/>
            <w:r>
              <w:rPr>
                <w:lang w:val="de-CH"/>
              </w:rPr>
              <w:t>Vortex</w:t>
            </w:r>
            <w:proofErr w:type="spellEnd"/>
            <w:r>
              <w:rPr>
                <w:lang w:val="de-CH"/>
              </w:rPr>
              <w:t>-Tunnels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573D4C" w:rsidP="00573D4C">
            <w:pPr>
              <w:rPr>
                <w:lang w:val="de-CH"/>
              </w:rPr>
            </w:pPr>
            <w:r>
              <w:rPr>
                <w:lang w:val="de-CH"/>
              </w:rPr>
              <w:t>12:00-17:00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F57A94"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F57A94"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w:t>
            </w:r>
            <w:proofErr w:type="spellStart"/>
            <w:r>
              <w:rPr>
                <w:lang w:val="de-CH"/>
              </w:rPr>
              <w:t>Unity</w:t>
            </w:r>
            <w:proofErr w:type="spellEnd"/>
            <w:r>
              <w:rPr>
                <w:lang w:val="de-CH"/>
              </w:rPr>
              <w:t xml:space="preserve">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A27A0" w:rsidP="000125F7">
            <w:pPr>
              <w:rPr>
                <w:lang w:val="de-CH"/>
              </w:rPr>
            </w:pPr>
            <w:r>
              <w:rPr>
                <w:lang w:val="de-CH"/>
              </w:rPr>
              <w:t>10:00-12:00,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F57A94"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w:t>
      </w:r>
      <w:r>
        <w:rPr>
          <w:lang w:val="de-CH"/>
        </w:rPr>
        <w:t>.10.2017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F57A94" w:rsidP="002330E8">
            <w:pPr>
              <w:rPr>
                <w:lang w:val="de-CH"/>
              </w:rPr>
            </w:pPr>
            <w:r>
              <w:rPr>
                <w:lang w:val="de-CH"/>
              </w:rPr>
              <w:t>09</w:t>
            </w:r>
            <w:r>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F57A94"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F57A94"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w:t>
            </w:r>
            <w:proofErr w:type="spellStart"/>
            <w:r>
              <w:rPr>
                <w:lang w:val="de-CH"/>
              </w:rPr>
              <w:t>Unity</w:t>
            </w:r>
            <w:proofErr w:type="spellEnd"/>
            <w:r>
              <w:rPr>
                <w:lang w:val="de-CH"/>
              </w:rPr>
              <w:t xml:space="preserve">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w:t>
      </w:r>
      <w:r>
        <w:rPr>
          <w:lang w:val="de-CH"/>
        </w:rPr>
        <w:t>.10.2017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F57A94"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F57A94"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w:t>
      </w:r>
      <w:r>
        <w:rPr>
          <w:lang w:val="de-CH"/>
        </w:rPr>
        <w:t>.10.2017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w:t>
            </w:r>
            <w:r>
              <w:rPr>
                <w:lang w:val="de-CH"/>
              </w:rPr>
              <w:t xml:space="preserve">:00-12:00, </w:t>
            </w:r>
            <w:r>
              <w:rPr>
                <w:lang w:val="de-CH"/>
              </w:rPr>
              <w:t>13:00-18</w:t>
            </w:r>
            <w:r>
              <w:rPr>
                <w:lang w:val="de-CH"/>
              </w:rPr>
              <w:t>:00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F57A94"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bookmarkStart w:id="0" w:name="_GoBack"/>
            <w:bookmarkEnd w:id="0"/>
          </w:p>
        </w:tc>
      </w:tr>
    </w:tbl>
    <w:p w:rsidR="00573D4C" w:rsidRPr="00A05DB3" w:rsidRDefault="00573D4C" w:rsidP="006A27A0">
      <w:pPr>
        <w:pStyle w:val="berschrift1"/>
        <w:rPr>
          <w:lang w:val="de-CH"/>
        </w:rPr>
      </w:pPr>
    </w:p>
    <w:sectPr w:rsidR="00573D4C" w:rsidRPr="00A05DB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DC4" w:rsidRDefault="00652DC4" w:rsidP="006B4144">
      <w:pPr>
        <w:spacing w:after="0" w:line="240" w:lineRule="auto"/>
      </w:pPr>
      <w:r>
        <w:separator/>
      </w:r>
    </w:p>
  </w:endnote>
  <w:endnote w:type="continuationSeparator" w:id="0">
    <w:p w:rsidR="00652DC4" w:rsidRDefault="00652DC4"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DC4" w:rsidRDefault="00652DC4" w:rsidP="006B4144">
      <w:pPr>
        <w:spacing w:after="0" w:line="240" w:lineRule="auto"/>
      </w:pPr>
      <w:r>
        <w:separator/>
      </w:r>
    </w:p>
  </w:footnote>
  <w:footnote w:type="continuationSeparator" w:id="0">
    <w:p w:rsidR="00652DC4" w:rsidRDefault="00652DC4"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2213B2"/>
    <w:rsid w:val="00514A8E"/>
    <w:rsid w:val="00573D4C"/>
    <w:rsid w:val="005E0887"/>
    <w:rsid w:val="00652DC4"/>
    <w:rsid w:val="006A234E"/>
    <w:rsid w:val="006A27A0"/>
    <w:rsid w:val="006B376E"/>
    <w:rsid w:val="006B4144"/>
    <w:rsid w:val="00717565"/>
    <w:rsid w:val="00761856"/>
    <w:rsid w:val="009C76EC"/>
    <w:rsid w:val="00A05DB3"/>
    <w:rsid w:val="00B909C7"/>
    <w:rsid w:val="00BE7A91"/>
    <w:rsid w:val="00C636B7"/>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7</cp:revision>
  <dcterms:created xsi:type="dcterms:W3CDTF">2017-09-25T17:21:00Z</dcterms:created>
  <dcterms:modified xsi:type="dcterms:W3CDTF">2017-10-30T17:27:00Z</dcterms:modified>
</cp:coreProperties>
</file>