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gjdgxs" w:id="0"/>
      <w:bookmarkEnd w:id="0"/>
      <w:r w:rsidDel="00000000" w:rsidR="00000000" w:rsidRPr="00000000">
        <w:rPr>
          <w:sz w:val="44"/>
          <w:szCs w:val="44"/>
          <w:rtl w:val="0"/>
        </w:rPr>
        <w:t xml:space="preserve">Group Project 2 - Group 10</w:t>
      </w:r>
      <w:r w:rsidDel="00000000" w:rsidR="00000000" w:rsidRPr="00000000">
        <w:rPr>
          <w:rtl w:val="0"/>
        </w:rPr>
      </w:r>
    </w:p>
    <w:p w:rsidR="00000000" w:rsidDel="00000000" w:rsidP="00000000" w:rsidRDefault="00000000" w:rsidRPr="00000000" w14:paraId="00000002">
      <w:pPr>
        <w:spacing w:after="240" w:before="240" w:lineRule="auto"/>
        <w:rPr>
          <w:b w:val="1"/>
        </w:rPr>
      </w:pPr>
      <w:r w:rsidDel="00000000" w:rsidR="00000000" w:rsidRPr="00000000">
        <w:rPr>
          <w:b w:val="1"/>
          <w:sz w:val="24"/>
          <w:szCs w:val="24"/>
          <w:rtl w:val="0"/>
        </w:rPr>
        <w:t xml:space="preserve">Q1. Risk Management for Dynamic Portfolios</w:t>
      </w:r>
      <w:r w:rsidDel="00000000" w:rsidR="00000000" w:rsidRPr="00000000">
        <w:rPr>
          <w:rtl w:val="0"/>
        </w:rPr>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Q1.2 </w:t>
      </w:r>
      <w:r w:rsidDel="00000000" w:rsidR="00000000" w:rsidRPr="00000000">
        <w:rPr>
          <w:b w:val="1"/>
          <w:sz w:val="24"/>
          <w:szCs w:val="24"/>
          <w:rtl w:val="0"/>
        </w:rPr>
        <w:t xml:space="preserve">Portfolio Constructions</w:t>
      </w:r>
      <w:r w:rsidDel="00000000" w:rsidR="00000000" w:rsidRPr="00000000">
        <w:rPr>
          <w:rtl w:val="0"/>
        </w:rPr>
      </w:r>
    </w:p>
    <w:p w:rsidR="00000000" w:rsidDel="00000000" w:rsidP="00000000" w:rsidRDefault="00000000" w:rsidRPr="00000000" w14:paraId="00000004">
      <w:pPr>
        <w:spacing w:after="240" w:before="240" w:lineRule="auto"/>
        <w:rPr>
          <w:b w:val="1"/>
          <w:sz w:val="24"/>
          <w:szCs w:val="24"/>
        </w:rPr>
      </w:pPr>
      <w:r w:rsidDel="00000000" w:rsidR="00000000" w:rsidRPr="00000000">
        <w:rPr>
          <w:b w:val="1"/>
          <w:sz w:val="24"/>
          <w:szCs w:val="24"/>
          <w:rtl w:val="0"/>
        </w:rPr>
        <w:t xml:space="preserve">Q1.2.1</w:t>
      </w:r>
    </w:p>
    <w:p w:rsidR="00000000" w:rsidDel="00000000" w:rsidP="00000000" w:rsidRDefault="00000000" w:rsidRPr="00000000" w14:paraId="0000000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b w:val="1"/>
        </w:rPr>
      </w:pPr>
      <w:r w:rsidDel="00000000" w:rsidR="00000000" w:rsidRPr="00000000">
        <w:rPr>
          <w:b w:val="1"/>
        </w:rPr>
        <w:drawing>
          <wp:inline distB="0" distT="0" distL="0" distR="0">
            <wp:extent cx="6027731" cy="3058260"/>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27731" cy="305826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sz w:val="20"/>
          <w:szCs w:val="20"/>
        </w:rPr>
      </w:pPr>
      <w:r w:rsidDel="00000000" w:rsidR="00000000" w:rsidRPr="00000000">
        <w:rPr>
          <w:sz w:val="20"/>
          <w:szCs w:val="20"/>
          <w:rtl w:val="0"/>
        </w:rPr>
        <w:t xml:space="preserve">Figure 1 Estimated dynamic volatilities</w:t>
      </w:r>
    </w:p>
    <w:p w:rsidR="00000000" w:rsidDel="00000000" w:rsidP="00000000" w:rsidRDefault="00000000" w:rsidRPr="00000000" w14:paraId="00000008">
      <w:pPr>
        <w:spacing w:after="240" w:before="240" w:lineRule="auto"/>
        <w:rPr>
          <w:sz w:val="24"/>
          <w:szCs w:val="24"/>
        </w:rPr>
      </w:pPr>
      <w:r w:rsidDel="00000000" w:rsidR="00000000" w:rsidRPr="00000000">
        <w:rPr>
          <w:sz w:val="24"/>
          <w:szCs w:val="24"/>
          <w:rtl w:val="0"/>
        </w:rPr>
        <w:t xml:space="preserve">From Figure 1, we can see that the volatilities of 10 industries reached the highest level around March 2019. This could be due to COVID-19 outbreak around that period. We can also see that the energy industry has the highest volatility among all 10 industries in general.</w:t>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b w:val="1"/>
          <w:sz w:val="24"/>
          <w:szCs w:val="24"/>
          <w:rtl w:val="0"/>
        </w:rPr>
        <w:t xml:space="preserve">Q1.2.2</w:t>
      </w:r>
      <w:r w:rsidDel="00000000" w:rsidR="00000000" w:rsidRPr="00000000">
        <w:rPr>
          <w:rtl w:val="0"/>
        </w:rPr>
      </w:r>
    </w:p>
    <w:p w:rsidR="00000000" w:rsidDel="00000000" w:rsidP="00000000" w:rsidRDefault="00000000" w:rsidRPr="00000000" w14:paraId="0000000F">
      <w:pPr>
        <w:spacing w:after="240" w:before="240" w:lineRule="auto"/>
        <w:jc w:val="center"/>
        <w:rPr>
          <w:b w:val="1"/>
        </w:rPr>
      </w:pPr>
      <w:r w:rsidDel="00000000" w:rsidR="00000000" w:rsidRPr="00000000">
        <w:rPr>
          <w:b w:val="1"/>
        </w:rPr>
        <w:drawing>
          <wp:inline distB="0" distT="0" distL="0" distR="0">
            <wp:extent cx="3284265" cy="2166938"/>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284265"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Arimo" w:cs="Arimo" w:eastAsia="Arimo" w:hAnsi="Arimo"/>
          <w:sz w:val="20"/>
          <w:szCs w:val="20"/>
        </w:rPr>
      </w:pPr>
      <w:r w:rsidDel="00000000" w:rsidR="00000000" w:rsidRPr="00000000">
        <w:rPr>
          <w:sz w:val="20"/>
          <w:szCs w:val="20"/>
          <w:rtl w:val="0"/>
        </w:rPr>
        <w:t xml:space="preserve">Figure 2 </w:t>
      </w:r>
      <w:r w:rsidDel="00000000" w:rsidR="00000000" w:rsidRPr="00000000">
        <w:rPr>
          <w:rFonts w:ascii="Arimo" w:cs="Arimo" w:eastAsia="Arimo" w:hAnsi="Arimo"/>
          <w:sz w:val="20"/>
          <w:szCs w:val="20"/>
          <w:rtl w:val="0"/>
        </w:rPr>
        <w:t xml:space="preserve">Correlation matrix on 4-Jan-2016</w:t>
      </w:r>
    </w:p>
    <w:p w:rsidR="00000000" w:rsidDel="00000000" w:rsidP="00000000" w:rsidRDefault="00000000" w:rsidRPr="00000000" w14:paraId="00000011">
      <w:pPr>
        <w:jc w:val="cente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3276348" cy="2156844"/>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276348" cy="215684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pPr>
      <w:r w:rsidDel="00000000" w:rsidR="00000000" w:rsidRPr="00000000">
        <w:rPr>
          <w:sz w:val="20"/>
          <w:szCs w:val="20"/>
          <w:rtl w:val="0"/>
        </w:rPr>
        <w:t xml:space="preserve">Figure 3 Correlation matrix on 25-Mar-2020</w:t>
      </w: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spacing w:after="240" w:before="240" w:lineRule="auto"/>
        <w:rPr>
          <w:b w:val="1"/>
        </w:rPr>
      </w:pPr>
      <w:r w:rsidDel="00000000" w:rsidR="00000000" w:rsidRPr="00000000">
        <w:rPr>
          <w:sz w:val="24"/>
          <w:szCs w:val="24"/>
          <w:rtl w:val="0"/>
        </w:rPr>
        <w:t xml:space="preserve">The correlation matrix on 25-Mar-2020 has a lighter color when compared with 4-Jan-2016. This means that correlation among 10 industries could be higher than usual when extreme cases like covid-19 happen to the market.</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240" w:before="240" w:lineRule="auto"/>
        <w:rPr>
          <w:b w:val="1"/>
          <w:sz w:val="24"/>
          <w:szCs w:val="24"/>
        </w:rPr>
      </w:pPr>
      <w:r w:rsidDel="00000000" w:rsidR="00000000" w:rsidRPr="00000000">
        <w:rPr>
          <w:b w:val="1"/>
          <w:sz w:val="24"/>
          <w:szCs w:val="24"/>
          <w:rtl w:val="0"/>
        </w:rPr>
        <w:t xml:space="preserve">Q1.2.3</w:t>
      </w:r>
    </w:p>
    <w:p w:rsidR="00000000" w:rsidDel="00000000" w:rsidP="00000000" w:rsidRDefault="00000000" w:rsidRPr="00000000" w14:paraId="00000017">
      <w:pPr>
        <w:rPr>
          <w:sz w:val="24"/>
          <w:szCs w:val="24"/>
        </w:rPr>
      </w:pPr>
      <w:r w:rsidDel="00000000" w:rsidR="00000000" w:rsidRPr="00000000">
        <w:rPr>
          <w:sz w:val="24"/>
          <w:szCs w:val="24"/>
          <w:rtl w:val="0"/>
        </w:rPr>
        <w:t xml:space="preserve">From the above chart, we can observe that dynamic weightage on 4 January 2016 is quite similar to the static weightage. While the dynamic weightage on 25 March 2020 is different from the other two. Weight in some industries even changes from positive to negative due to covid-19 or other impacts.  </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240" w:before="240" w:lineRule="auto"/>
        <w:rPr>
          <w:b w:val="1"/>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240" w:before="240" w:lineRule="auto"/>
        <w:jc w:val="center"/>
        <w:rPr>
          <w:b w:val="1"/>
          <w:sz w:val="24"/>
          <w:szCs w:val="24"/>
        </w:rPr>
      </w:pPr>
      <w:r w:rsidDel="00000000" w:rsidR="00000000" w:rsidRPr="00000000">
        <w:rPr>
          <w:b w:val="1"/>
          <w:sz w:val="24"/>
          <w:szCs w:val="24"/>
        </w:rPr>
        <w:drawing>
          <wp:inline distB="114300" distT="114300" distL="114300" distR="114300">
            <wp:extent cx="4948238" cy="2810225"/>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948238" cy="28102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sz w:val="20"/>
          <w:szCs w:val="20"/>
        </w:rPr>
      </w:pPr>
      <w:r w:rsidDel="00000000" w:rsidR="00000000" w:rsidRPr="00000000">
        <w:rPr>
          <w:sz w:val="20"/>
          <w:szCs w:val="20"/>
          <w:rtl w:val="0"/>
        </w:rPr>
        <w:t xml:space="preserve">Figure 4 Portfolio weights</w:t>
      </w:r>
    </w:p>
    <w:p w:rsidR="00000000" w:rsidDel="00000000" w:rsidP="00000000" w:rsidRDefault="00000000" w:rsidRPr="00000000" w14:paraId="0000001B">
      <w:pPr>
        <w:jc w:val="center"/>
        <w:rPr>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240" w:before="240" w:lineRule="auto"/>
        <w:rPr>
          <w:b w:val="1"/>
          <w:sz w:val="24"/>
          <w:szCs w:val="24"/>
        </w:rPr>
      </w:pPr>
      <w:r w:rsidDel="00000000" w:rsidR="00000000" w:rsidRPr="00000000">
        <w:rPr>
          <w:b w:val="1"/>
          <w:sz w:val="24"/>
          <w:szCs w:val="24"/>
          <w:rtl w:val="0"/>
        </w:rPr>
        <w:t xml:space="preserve">Q1.2.4 </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240" w:before="240" w:lineRule="auto"/>
        <w:jc w:val="center"/>
        <w:rPr/>
      </w:pPr>
      <w:r w:rsidDel="00000000" w:rsidR="00000000" w:rsidRPr="00000000">
        <w:rPr>
          <w:b w:val="1"/>
          <w:sz w:val="24"/>
          <w:szCs w:val="24"/>
        </w:rPr>
        <w:drawing>
          <wp:inline distB="114300" distT="114300" distL="114300" distR="114300">
            <wp:extent cx="5718372" cy="2971112"/>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18372" cy="297111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sz w:val="20"/>
          <w:szCs w:val="20"/>
        </w:rPr>
      </w:pPr>
      <w:r w:rsidDel="00000000" w:rsidR="00000000" w:rsidRPr="00000000">
        <w:rPr>
          <w:sz w:val="20"/>
          <w:szCs w:val="20"/>
          <w:rtl w:val="0"/>
        </w:rPr>
        <w:t xml:space="preserve">Figure 5 Dynamics of the total portfolio value</w:t>
      </w:r>
    </w:p>
    <w:p w:rsidR="00000000" w:rsidDel="00000000" w:rsidP="00000000" w:rsidRDefault="00000000" w:rsidRPr="00000000" w14:paraId="0000001F">
      <w:pPr>
        <w:spacing w:after="240" w:before="240" w:lineRule="auto"/>
        <w:rPr>
          <w:sz w:val="24"/>
          <w:szCs w:val="24"/>
        </w:rPr>
      </w:pPr>
      <w:r w:rsidDel="00000000" w:rsidR="00000000" w:rsidRPr="00000000">
        <w:rPr>
          <w:sz w:val="24"/>
          <w:szCs w:val="24"/>
          <w:rtl w:val="0"/>
        </w:rPr>
        <w:t xml:space="preserve">The total portfolio value for different strategies is displayed as below. An equally weighted portfolio is having a better return under normal time. However, during extreme economic downturn such as Covid-19 period at the beginning of 2020,  equal weighted portfolio returns dropped more significantly than dynamic portfolios or static portfolios derived by GMV. Also, the dynamic portfolio is more stable compared to static portfolios.</w:t>
      </w:r>
    </w:p>
    <w:p w:rsidR="00000000" w:rsidDel="00000000" w:rsidP="00000000" w:rsidRDefault="00000000" w:rsidRPr="00000000" w14:paraId="00000020">
      <w:pPr>
        <w:spacing w:after="240" w:before="240" w:lineRule="auto"/>
        <w:rPr>
          <w:sz w:val="24"/>
          <w:szCs w:val="24"/>
        </w:rPr>
      </w:pPr>
      <w:r w:rsidDel="00000000" w:rsidR="00000000" w:rsidRPr="00000000">
        <w:rPr>
          <w:rtl w:val="0"/>
        </w:rPr>
      </w:r>
    </w:p>
    <w:p w:rsidR="00000000" w:rsidDel="00000000" w:rsidP="00000000" w:rsidRDefault="00000000" w:rsidRPr="00000000" w14:paraId="00000021">
      <w:pPr>
        <w:spacing w:after="240" w:before="240" w:lineRule="auto"/>
        <w:rPr>
          <w:b w:val="1"/>
          <w:sz w:val="24"/>
          <w:szCs w:val="24"/>
        </w:rPr>
      </w:pPr>
      <w:r w:rsidDel="00000000" w:rsidR="00000000" w:rsidRPr="00000000">
        <w:rPr>
          <w:b w:val="1"/>
          <w:sz w:val="24"/>
          <w:szCs w:val="24"/>
          <w:rtl w:val="0"/>
        </w:rPr>
        <w:t xml:space="preserve">Q1.3 Risk Evaluation</w:t>
      </w:r>
    </w:p>
    <w:p w:rsidR="00000000" w:rsidDel="00000000" w:rsidP="00000000" w:rsidRDefault="00000000" w:rsidRPr="00000000" w14:paraId="00000022">
      <w:pPr>
        <w:rPr>
          <w:sz w:val="24"/>
          <w:szCs w:val="24"/>
        </w:rPr>
      </w:pPr>
      <w:r w:rsidDel="00000000" w:rsidR="00000000" w:rsidRPr="00000000">
        <w:rPr>
          <w:sz w:val="24"/>
          <w:szCs w:val="24"/>
          <w:rtl w:val="0"/>
        </w:rPr>
        <w:t xml:space="preserve">Below table shows the one-day 99% VaR,  ES, stressed VaR, stressed ES for the 3 portfolios. Detailed code can be found in jupyter notebook.</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sz w:val="20"/>
          <w:szCs w:val="20"/>
        </w:rPr>
      </w:pPr>
      <w:r w:rsidDel="00000000" w:rsidR="00000000" w:rsidRPr="00000000">
        <w:rPr>
          <w:sz w:val="20"/>
          <w:szCs w:val="20"/>
          <w:rtl w:val="0"/>
        </w:rPr>
        <w:t xml:space="preserve">Table 1 Risk evaluation (unit: dollar)</w:t>
      </w:r>
    </w:p>
    <w:tbl>
      <w:tblPr>
        <w:tblStyle w:val="Table1"/>
        <w:tblW w:w="913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340"/>
        <w:gridCol w:w="2340"/>
        <w:gridCol w:w="2340"/>
        <w:tblGridChange w:id="0">
          <w:tblGrid>
            <w:gridCol w:w="2115"/>
            <w:gridCol w:w="2340"/>
            <w:gridCol w:w="2340"/>
            <w:gridCol w:w="23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Equally Weighted </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Static GMV </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Dynamic GMV</w:t>
            </w:r>
          </w:p>
        </w:tc>
      </w:tr>
      <w:t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VaR</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line="240" w:lineRule="auto"/>
              <w:rPr/>
            </w:pPr>
            <w:r w:rsidDel="00000000" w:rsidR="00000000" w:rsidRPr="00000000">
              <w:rPr>
                <w:sz w:val="21"/>
                <w:szCs w:val="21"/>
                <w:rtl w:val="0"/>
              </w:rPr>
              <w:t xml:space="preserve">50146.61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spacing w:line="240" w:lineRule="auto"/>
              <w:rPr>
                <w:sz w:val="21"/>
                <w:szCs w:val="21"/>
                <w:highlight w:val="white"/>
              </w:rPr>
            </w:pPr>
            <w:r w:rsidDel="00000000" w:rsidR="00000000" w:rsidRPr="00000000">
              <w:rPr>
                <w:sz w:val="21"/>
                <w:szCs w:val="21"/>
                <w:highlight w:val="white"/>
                <w:rtl w:val="0"/>
              </w:rPr>
              <w:t xml:space="preserve">37473.82</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spacing w:line="240" w:lineRule="auto"/>
              <w:rPr/>
            </w:pPr>
            <w:r w:rsidDel="00000000" w:rsidR="00000000" w:rsidRPr="00000000">
              <w:rPr>
                <w:sz w:val="21"/>
                <w:szCs w:val="21"/>
                <w:rtl w:val="0"/>
              </w:rPr>
              <w:t xml:space="preserve">37325.29</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ES</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rPr/>
            </w:pPr>
            <w:r w:rsidDel="00000000" w:rsidR="00000000" w:rsidRPr="00000000">
              <w:rPr>
                <w:sz w:val="21"/>
                <w:szCs w:val="21"/>
                <w:rtl w:val="0"/>
              </w:rPr>
              <w:t xml:space="preserve">78349.83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spacing w:line="240" w:lineRule="auto"/>
              <w:rPr>
                <w:sz w:val="21"/>
                <w:szCs w:val="21"/>
                <w:highlight w:val="white"/>
              </w:rPr>
            </w:pPr>
            <w:r w:rsidDel="00000000" w:rsidR="00000000" w:rsidRPr="00000000">
              <w:rPr>
                <w:sz w:val="21"/>
                <w:szCs w:val="21"/>
                <w:highlight w:val="white"/>
                <w:rtl w:val="0"/>
              </w:rPr>
              <w:t xml:space="preserve">60956.38</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spacing w:line="240" w:lineRule="auto"/>
              <w:rPr/>
            </w:pPr>
            <w:r w:rsidDel="00000000" w:rsidR="00000000" w:rsidRPr="00000000">
              <w:rPr>
                <w:sz w:val="21"/>
                <w:szCs w:val="21"/>
                <w:rtl w:val="0"/>
              </w:rPr>
              <w:t xml:space="preserve">50168.34</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Stressed VaR</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line="240" w:lineRule="auto"/>
              <w:rPr/>
            </w:pPr>
            <w:r w:rsidDel="00000000" w:rsidR="00000000" w:rsidRPr="00000000">
              <w:rPr>
                <w:sz w:val="21"/>
                <w:szCs w:val="21"/>
                <w:rtl w:val="0"/>
              </w:rPr>
              <w:t xml:space="preserve">123287.88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rPr>
                <w:sz w:val="21"/>
                <w:szCs w:val="21"/>
              </w:rPr>
            </w:pPr>
            <w:r w:rsidDel="00000000" w:rsidR="00000000" w:rsidRPr="00000000">
              <w:rPr>
                <w:sz w:val="21"/>
                <w:szCs w:val="21"/>
                <w:highlight w:val="white"/>
                <w:rtl w:val="0"/>
              </w:rPr>
              <w:t xml:space="preserve">100632.13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line="240" w:lineRule="auto"/>
              <w:rPr/>
            </w:pPr>
            <w:r w:rsidDel="00000000" w:rsidR="00000000" w:rsidRPr="00000000">
              <w:rPr>
                <w:sz w:val="21"/>
                <w:szCs w:val="21"/>
                <w:rtl w:val="0"/>
              </w:rPr>
              <w:t xml:space="preserve">58281.95</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Stressed ES</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line="240" w:lineRule="auto"/>
              <w:rPr/>
            </w:pPr>
            <w:r w:rsidDel="00000000" w:rsidR="00000000" w:rsidRPr="00000000">
              <w:rPr>
                <w:sz w:val="21"/>
                <w:szCs w:val="21"/>
                <w:rtl w:val="0"/>
              </w:rPr>
              <w:t xml:space="preserve">132618.59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rPr>
                <w:sz w:val="21"/>
                <w:szCs w:val="21"/>
              </w:rPr>
            </w:pPr>
            <w:r w:rsidDel="00000000" w:rsidR="00000000" w:rsidRPr="00000000">
              <w:rPr>
                <w:sz w:val="21"/>
                <w:szCs w:val="21"/>
                <w:highlight w:val="white"/>
                <w:rtl w:val="0"/>
              </w:rPr>
              <w:t xml:space="preserve">110281.89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rPr/>
            </w:pPr>
            <w:r w:rsidDel="00000000" w:rsidR="00000000" w:rsidRPr="00000000">
              <w:rPr>
                <w:sz w:val="21"/>
                <w:szCs w:val="21"/>
                <w:rtl w:val="0"/>
              </w:rPr>
              <w:t xml:space="preserve">78131.74</w:t>
            </w: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24"/>
          <w:szCs w:val="24"/>
          <w:highlight w:val="white"/>
        </w:rPr>
      </w:pPr>
      <w:r w:rsidDel="00000000" w:rsidR="00000000" w:rsidRPr="00000000">
        <w:rPr>
          <w:sz w:val="24"/>
          <w:szCs w:val="24"/>
          <w:rtl w:val="0"/>
        </w:rPr>
        <w:t xml:space="preserve">As there are several 250-day periods that have the equal stressed VaR and stressed ES, here we only mention the period that appears earliest. For equally weighted Portfolio, the period for stressed VaR and stressed ES is from </w:t>
      </w:r>
      <w:r w:rsidDel="00000000" w:rsidR="00000000" w:rsidRPr="00000000">
        <w:rPr>
          <w:sz w:val="24"/>
          <w:szCs w:val="24"/>
          <w:highlight w:val="white"/>
          <w:rtl w:val="0"/>
        </w:rPr>
        <w:t xml:space="preserve">2019-03-20 to 2020-03-16;</w:t>
      </w:r>
      <w:r w:rsidDel="00000000" w:rsidR="00000000" w:rsidRPr="00000000">
        <w:rPr>
          <w:sz w:val="24"/>
          <w:szCs w:val="24"/>
          <w:rtl w:val="0"/>
        </w:rPr>
        <w:t xml:space="preserve"> for static GMV Portfolio, the period for stressed VaR and stressed ES is from </w:t>
      </w:r>
      <w:r w:rsidDel="00000000" w:rsidR="00000000" w:rsidRPr="00000000">
        <w:rPr>
          <w:sz w:val="24"/>
          <w:szCs w:val="24"/>
          <w:highlight w:val="white"/>
          <w:rtl w:val="0"/>
        </w:rPr>
        <w:t xml:space="preserve">2019-03-26 to 2020-03-20;</w:t>
      </w:r>
      <w:r w:rsidDel="00000000" w:rsidR="00000000" w:rsidRPr="00000000">
        <w:rPr>
          <w:sz w:val="24"/>
          <w:szCs w:val="24"/>
          <w:rtl w:val="0"/>
        </w:rPr>
        <w:t xml:space="preserve"> For dynamic one, the period for stressed VaR and stressed ES is from </w:t>
      </w:r>
      <w:r w:rsidDel="00000000" w:rsidR="00000000" w:rsidRPr="00000000">
        <w:rPr>
          <w:sz w:val="24"/>
          <w:szCs w:val="24"/>
          <w:highlight w:val="white"/>
          <w:rtl w:val="0"/>
        </w:rPr>
        <w:t xml:space="preserve">2019-06-17 to 2020-06-11.</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sz w:val="24"/>
          <w:szCs w:val="24"/>
        </w:rPr>
      </w:pPr>
      <w:r w:rsidDel="00000000" w:rsidR="00000000" w:rsidRPr="00000000">
        <w:rPr>
          <w:b w:val="1"/>
          <w:sz w:val="24"/>
          <w:szCs w:val="24"/>
          <w:rtl w:val="0"/>
        </w:rPr>
        <w:t xml:space="preserve">Q1.4 Further Thought</w:t>
      </w:r>
    </w:p>
    <w:p w:rsidR="00000000" w:rsidDel="00000000" w:rsidP="00000000" w:rsidRDefault="00000000" w:rsidRPr="00000000" w14:paraId="0000003D">
      <w:pPr>
        <w:rPr>
          <w:sz w:val="24"/>
          <w:szCs w:val="24"/>
        </w:rPr>
      </w:pPr>
      <w:r w:rsidDel="00000000" w:rsidR="00000000" w:rsidRPr="00000000">
        <w:rPr>
          <w:sz w:val="24"/>
          <w:szCs w:val="24"/>
          <w:rtl w:val="0"/>
        </w:rPr>
        <w:t xml:space="preserve">Two approaches are taken to find a better portfolio which can perform better when extreme losses happen. </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u w:val="single"/>
        </w:rPr>
      </w:pPr>
      <w:r w:rsidDel="00000000" w:rsidR="00000000" w:rsidRPr="00000000">
        <w:rPr>
          <w:sz w:val="24"/>
          <w:szCs w:val="24"/>
          <w:u w:val="single"/>
          <w:rtl w:val="0"/>
        </w:rPr>
        <w:t xml:space="preserve">First Approach - EWMA</w:t>
      </w:r>
    </w:p>
    <w:p w:rsidR="00000000" w:rsidDel="00000000" w:rsidP="00000000" w:rsidRDefault="00000000" w:rsidRPr="00000000" w14:paraId="00000040">
      <w:pPr>
        <w:rPr>
          <w:sz w:val="24"/>
          <w:szCs w:val="24"/>
        </w:rPr>
      </w:pPr>
      <w:r w:rsidDel="00000000" w:rsidR="00000000" w:rsidRPr="00000000">
        <w:rPr>
          <w:sz w:val="24"/>
          <w:szCs w:val="24"/>
          <w:rtl w:val="0"/>
        </w:rPr>
        <w:t xml:space="preserve">Dynamically estimate the covariance matrix using EWMA method with</w:t>
      </w:r>
    </w:p>
    <w:p w:rsidR="00000000" w:rsidDel="00000000" w:rsidP="00000000" w:rsidRDefault="00000000" w:rsidRPr="00000000" w14:paraId="00000041">
      <w:pPr>
        <w:numPr>
          <w:ilvl w:val="0"/>
          <w:numId w:val="1"/>
        </w:numPr>
        <w:ind w:left="720" w:hanging="360"/>
        <w:rPr>
          <w:sz w:val="24"/>
          <w:szCs w:val="24"/>
        </w:rPr>
      </w:pPr>
      <w:r w:rsidDel="00000000" w:rsidR="00000000" w:rsidRPr="00000000">
        <w:rPr>
          <w:sz w:val="24"/>
          <w:szCs w:val="24"/>
          <w:rtl w:val="0"/>
        </w:rPr>
        <w:t xml:space="preserve"> lambda equals 0.95.</w:t>
      </w:r>
    </w:p>
    <w:p w:rsidR="00000000" w:rsidDel="00000000" w:rsidP="00000000" w:rsidRDefault="00000000" w:rsidRPr="00000000" w14:paraId="00000042">
      <w:pPr>
        <w:numPr>
          <w:ilvl w:val="0"/>
          <w:numId w:val="1"/>
        </w:numPr>
        <w:ind w:left="720" w:hanging="360"/>
        <w:rPr>
          <w:sz w:val="24"/>
          <w:szCs w:val="24"/>
        </w:rPr>
      </w:pPr>
      <w:r w:rsidDel="00000000" w:rsidR="00000000" w:rsidRPr="00000000">
        <w:rPr>
          <w:sz w:val="24"/>
          <w:szCs w:val="24"/>
          <w:rtl w:val="0"/>
        </w:rPr>
        <w:t xml:space="preserve">V 1(i, j) = Vˆ (i, j). That is, the initial value is the sample covariance matrix obtained from the pre-2006 data;</w:t>
      </w:r>
    </w:p>
    <w:p w:rsidR="00000000" w:rsidDel="00000000" w:rsidP="00000000" w:rsidRDefault="00000000" w:rsidRPr="00000000" w14:paraId="00000043">
      <w:pPr>
        <w:numPr>
          <w:ilvl w:val="0"/>
          <w:numId w:val="1"/>
        </w:numPr>
        <w:ind w:left="720" w:hanging="360"/>
        <w:rPr>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Fort≥2,Vt(i,j)=lambda* VL(i,j)+(1-lambda) × r_validate(t−1,i)×r_validate(t−1,j).</w:t>
          </w:r>
        </w:sdtContent>
      </w:sdt>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The final VaR and ES is computed as below:</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jc w:val="center"/>
        <w:rPr>
          <w:sz w:val="24"/>
          <w:szCs w:val="24"/>
        </w:rPr>
      </w:pPr>
      <w:r w:rsidDel="00000000" w:rsidR="00000000" w:rsidRPr="00000000">
        <w:rPr>
          <w:sz w:val="20"/>
          <w:szCs w:val="20"/>
          <w:rtl w:val="0"/>
        </w:rPr>
        <w:t xml:space="preserve">Table 2 Risk evaluation under EWMA (unit: dollar)</w:t>
      </w:r>
      <w:r w:rsidDel="00000000" w:rsidR="00000000" w:rsidRPr="00000000">
        <w:rPr>
          <w:rtl w:val="0"/>
        </w:rPr>
      </w:r>
    </w:p>
    <w:tbl>
      <w:tblPr>
        <w:tblStyle w:val="Table2"/>
        <w:tblW w:w="5910.0" w:type="dxa"/>
        <w:jc w:val="left"/>
        <w:tblInd w:w="1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3690"/>
        <w:tblGridChange w:id="0">
          <w:tblGrid>
            <w:gridCol w:w="2220"/>
            <w:gridCol w:w="369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Dynamic GMV using EWMA</w:t>
            </w:r>
          </w:p>
        </w:tc>
      </w:tr>
      <w:t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VaR</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rPr/>
            </w:pPr>
            <w:r w:rsidDel="00000000" w:rsidR="00000000" w:rsidRPr="00000000">
              <w:rPr>
                <w:rtl w:val="0"/>
              </w:rPr>
              <w:t xml:space="preserve">41406.50</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ES</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pPr>
            <w:r w:rsidDel="00000000" w:rsidR="00000000" w:rsidRPr="00000000">
              <w:rPr>
                <w:rtl w:val="0"/>
              </w:rPr>
              <w:t xml:space="preserve">59808.53</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Stressed VaR</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pPr>
            <w:r w:rsidDel="00000000" w:rsidR="00000000" w:rsidRPr="00000000">
              <w:rPr>
                <w:rtl w:val="0"/>
              </w:rPr>
              <w:t xml:space="preserve">75869.39</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Stressed ES</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rPr/>
            </w:pPr>
            <w:r w:rsidDel="00000000" w:rsidR="00000000" w:rsidRPr="00000000">
              <w:rPr>
                <w:rtl w:val="0"/>
              </w:rPr>
              <w:t xml:space="preserve">82179.32</w:t>
            </w:r>
            <w:r w:rsidDel="00000000" w:rsidR="00000000" w:rsidRPr="00000000">
              <w:rPr>
                <w:rtl w:val="0"/>
              </w:rPr>
            </w:r>
          </w:p>
        </w:tc>
      </w:tr>
    </w:tbl>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We can see that it performs better than Static GMV and Equally Weighted portfolios. If we use optimizer to find a better lambda, it is possible that EWMA outperforms Dynamic GMV portfolios as well. </w:t>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u w:val="single"/>
          <w:rtl w:val="0"/>
        </w:rPr>
        <w:t xml:space="preserve">Second Approach - GARCH with heavier weight assigned to recent observations</w:t>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We noticed that the recent market behavior in 2020 is inconsistent with most of the historical data prior to 2016, and most recent data are more valuable when extreme cases happen. Therefore we assign more weight to recent observed returns than to the previous estimations. We use gamma = 0.05, alpha =  0.05,  beta =  0.9 for the calculation, and the final VaR and ES is computed as below:</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jc w:val="center"/>
        <w:rPr>
          <w:sz w:val="24"/>
          <w:szCs w:val="24"/>
        </w:rPr>
      </w:pPr>
      <w:r w:rsidDel="00000000" w:rsidR="00000000" w:rsidRPr="00000000">
        <w:rPr>
          <w:sz w:val="20"/>
          <w:szCs w:val="20"/>
          <w:rtl w:val="0"/>
        </w:rPr>
        <w:t xml:space="preserve">Table 3 Risk evaluation under GARCH (unit: dollar)</w:t>
      </w:r>
      <w:r w:rsidDel="00000000" w:rsidR="00000000" w:rsidRPr="00000000">
        <w:rPr>
          <w:rtl w:val="0"/>
        </w:rPr>
      </w:r>
    </w:p>
    <w:tbl>
      <w:tblPr>
        <w:tblStyle w:val="Table3"/>
        <w:tblW w:w="6150.0" w:type="dxa"/>
        <w:jc w:val="left"/>
        <w:tblInd w:w="1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3810"/>
        <w:tblGridChange w:id="0">
          <w:tblGrid>
            <w:gridCol w:w="2340"/>
            <w:gridCol w:w="38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rPr/>
            </w:pPr>
            <w:r w:rsidDel="00000000" w:rsidR="00000000" w:rsidRPr="00000000">
              <w:rPr>
                <w:rtl w:val="0"/>
              </w:rPr>
              <w:t xml:space="preserve">GARCH GMV with heavier weight assigned to recent observations</w:t>
            </w:r>
          </w:p>
        </w:tc>
      </w:tr>
      <w:tr>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rPr/>
            </w:pPr>
            <w:r w:rsidDel="00000000" w:rsidR="00000000" w:rsidRPr="00000000">
              <w:rPr>
                <w:rtl w:val="0"/>
              </w:rPr>
              <w:t xml:space="preserve">VaR</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pPr>
            <w:r w:rsidDel="00000000" w:rsidR="00000000" w:rsidRPr="00000000">
              <w:rPr>
                <w:highlight w:val="white"/>
                <w:rtl w:val="0"/>
              </w:rPr>
              <w:t xml:space="preserve">35295.98</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rPr/>
            </w:pPr>
            <w:r w:rsidDel="00000000" w:rsidR="00000000" w:rsidRPr="00000000">
              <w:rPr>
                <w:rtl w:val="0"/>
              </w:rPr>
              <w:t xml:space="preserve">ES</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rPr/>
            </w:pPr>
            <w:r w:rsidDel="00000000" w:rsidR="00000000" w:rsidRPr="00000000">
              <w:rPr>
                <w:highlight w:val="white"/>
                <w:rtl w:val="0"/>
              </w:rPr>
              <w:t xml:space="preserve">49918.6</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rPr/>
            </w:pPr>
            <w:r w:rsidDel="00000000" w:rsidR="00000000" w:rsidRPr="00000000">
              <w:rPr>
                <w:rtl w:val="0"/>
              </w:rPr>
              <w:t xml:space="preserve">Stressed VaR</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rPr/>
            </w:pPr>
            <w:r w:rsidDel="00000000" w:rsidR="00000000" w:rsidRPr="00000000">
              <w:rPr>
                <w:highlight w:val="white"/>
                <w:rtl w:val="0"/>
              </w:rPr>
              <w:t xml:space="preserve">59424.14</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rPr/>
            </w:pPr>
            <w:r w:rsidDel="00000000" w:rsidR="00000000" w:rsidRPr="00000000">
              <w:rPr>
                <w:rtl w:val="0"/>
              </w:rPr>
              <w:t xml:space="preserve">Stressed ES</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rPr/>
            </w:pPr>
            <w:r w:rsidDel="00000000" w:rsidR="00000000" w:rsidRPr="00000000">
              <w:rPr>
                <w:highlight w:val="white"/>
                <w:rtl w:val="0"/>
              </w:rPr>
              <w:t xml:space="preserve">76664.4</w:t>
            </w:r>
            <w:r w:rsidDel="00000000" w:rsidR="00000000" w:rsidRPr="00000000">
              <w:rPr>
                <w:rtl w:val="0"/>
              </w:rPr>
            </w:r>
          </w:p>
        </w:tc>
      </w:tr>
    </w:tbl>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The one-day 99% VaR and ES of this portfolio are less than any portfolio mentioned in the previous section. Thus it has a better protection against extreme losses. In order to improve this strategy, we could possibly use an optimizer to find the best parameters to address the recent market situation. </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40" w:before="240" w:lineRule="auto"/>
        <w:rPr>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240" w:before="240" w:lineRule="auto"/>
        <w:rPr>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240" w:before="240" w:lineRule="auto"/>
        <w:rPr>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240" w:before="240" w:lineRule="auto"/>
        <w:rPr>
          <w:b w:val="1"/>
        </w:rPr>
      </w:pPr>
      <w:r w:rsidDel="00000000" w:rsidR="00000000" w:rsidRPr="00000000">
        <w:rPr>
          <w:b w:val="1"/>
          <w:sz w:val="24"/>
          <w:szCs w:val="24"/>
          <w:rtl w:val="0"/>
        </w:rPr>
        <w:t xml:space="preserve">Q2.1</w:t>
      </w: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According to Vasicek’s Result, conditional on F, the probability of one turbine having failure follows the formula below:</w:t>
      </w:r>
    </w:p>
    <w:p w:rsidR="00000000" w:rsidDel="00000000" w:rsidP="00000000" w:rsidRDefault="00000000" w:rsidRPr="00000000" w14:paraId="0000006B">
      <w:pPr>
        <w:jc w:val="center"/>
        <w:rPr/>
      </w:pPr>
      <w:r w:rsidDel="00000000" w:rsidR="00000000" w:rsidRPr="00000000">
        <w:rPr/>
        <w:drawing>
          <wp:inline distB="114300" distT="114300" distL="114300" distR="114300">
            <wp:extent cx="2386013" cy="575046"/>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386013" cy="57504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The PD in the above formula is the Probability of Default at time T, defined below:</w:t>
      </w:r>
    </w:p>
    <w:p w:rsidR="00000000" w:rsidDel="00000000" w:rsidP="00000000" w:rsidRDefault="00000000" w:rsidRPr="00000000" w14:paraId="0000006D">
      <w:pPr>
        <w:jc w:val="center"/>
        <w:rPr/>
      </w:pPr>
      <w:r w:rsidDel="00000000" w:rsidR="00000000" w:rsidRPr="00000000">
        <w:rPr/>
        <w:drawing>
          <wp:inline distB="114300" distT="114300" distL="114300" distR="114300">
            <wp:extent cx="1395413" cy="259612"/>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395413" cy="25961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This value has been given in the question for one turbine, which is 0.01. </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We adopt the simulation methodology below:</w:t>
      </w:r>
    </w:p>
    <w:p w:rsidR="00000000" w:rsidDel="00000000" w:rsidP="00000000" w:rsidRDefault="00000000" w:rsidRPr="00000000" w14:paraId="00000071">
      <w:pPr>
        <w:numPr>
          <w:ilvl w:val="0"/>
          <w:numId w:val="2"/>
        </w:numPr>
        <w:shd w:fill="ffffff" w:val="clear"/>
        <w:spacing w:before="220" w:lineRule="auto"/>
        <w:ind w:left="720" w:hanging="360"/>
        <w:rPr>
          <w:sz w:val="24"/>
          <w:szCs w:val="24"/>
        </w:rPr>
      </w:pPr>
      <w:r w:rsidDel="00000000" w:rsidR="00000000" w:rsidRPr="00000000">
        <w:rPr>
          <w:rFonts w:ascii="Roboto" w:cs="Roboto" w:eastAsia="Roboto" w:hAnsi="Roboto"/>
          <w:color w:val="201f1e"/>
          <w:sz w:val="24"/>
          <w:szCs w:val="24"/>
          <w:rtl w:val="0"/>
        </w:rPr>
        <w:t xml:space="preserve">Draw 10,000 samples of F from the standard normal distribution implied by the single-factor Gaussian copula model.</w:t>
      </w:r>
      <w:r w:rsidDel="00000000" w:rsidR="00000000" w:rsidRPr="00000000">
        <w:rPr>
          <w:rtl w:val="0"/>
        </w:rPr>
      </w:r>
    </w:p>
    <w:p w:rsidR="00000000" w:rsidDel="00000000" w:rsidP="00000000" w:rsidRDefault="00000000" w:rsidRPr="00000000" w14:paraId="00000072">
      <w:pPr>
        <w:numPr>
          <w:ilvl w:val="0"/>
          <w:numId w:val="2"/>
        </w:numPr>
        <w:shd w:fill="ffffff" w:val="clear"/>
        <w:ind w:left="720" w:hanging="360"/>
        <w:rPr>
          <w:sz w:val="24"/>
          <w:szCs w:val="24"/>
        </w:rPr>
      </w:pPr>
      <w:r w:rsidDel="00000000" w:rsidR="00000000" w:rsidRPr="00000000">
        <w:rPr>
          <w:rFonts w:ascii="Roboto" w:cs="Roboto" w:eastAsia="Roboto" w:hAnsi="Roboto"/>
          <w:color w:val="201f1e"/>
          <w:sz w:val="24"/>
          <w:szCs w:val="24"/>
          <w:rtl w:val="0"/>
        </w:rPr>
        <w:t xml:space="preserve">For every sample of F, calculate the conditional probability of power outage (conditional on that sample of F) using the first formula listed above.</w:t>
      </w:r>
      <w:r w:rsidDel="00000000" w:rsidR="00000000" w:rsidRPr="00000000">
        <w:rPr>
          <w:rtl w:val="0"/>
        </w:rPr>
      </w:r>
    </w:p>
    <w:p w:rsidR="00000000" w:rsidDel="00000000" w:rsidP="00000000" w:rsidRDefault="00000000" w:rsidRPr="00000000" w14:paraId="00000073">
      <w:pPr>
        <w:numPr>
          <w:ilvl w:val="0"/>
          <w:numId w:val="2"/>
        </w:numPr>
        <w:shd w:fill="ffffff" w:val="clear"/>
        <w:ind w:left="720" w:hanging="360"/>
        <w:rPr>
          <w:rFonts w:ascii="Roboto" w:cs="Roboto" w:eastAsia="Roboto" w:hAnsi="Roboto"/>
          <w:color w:val="201f1e"/>
          <w:sz w:val="24"/>
          <w:szCs w:val="24"/>
        </w:rPr>
      </w:pPr>
      <w:r w:rsidDel="00000000" w:rsidR="00000000" w:rsidRPr="00000000">
        <w:rPr>
          <w:rFonts w:ascii="Roboto" w:cs="Roboto" w:eastAsia="Roboto" w:hAnsi="Roboto"/>
          <w:color w:val="201f1e"/>
          <w:sz w:val="24"/>
          <w:szCs w:val="24"/>
          <w:rtl w:val="0"/>
        </w:rPr>
        <w:t xml:space="preserve">For every sample of F, calculate the unconditional probability of power outage using </w:t>
      </w:r>
      <w:r w:rsidDel="00000000" w:rsidR="00000000" w:rsidRPr="00000000">
        <w:rPr>
          <w:rFonts w:ascii="Roboto" w:cs="Roboto" w:eastAsia="Roboto" w:hAnsi="Roboto"/>
          <w:color w:val="201f1e"/>
          <w:sz w:val="24"/>
          <w:szCs w:val="24"/>
          <w:highlight w:val="white"/>
          <w:rtl w:val="0"/>
        </w:rPr>
        <w:t xml:space="preserve">binomial distribution, where we calculate the cumulative probability when the number of failed turbines &gt;= 3.</w:t>
      </w:r>
      <w:r w:rsidDel="00000000" w:rsidR="00000000" w:rsidRPr="00000000">
        <w:rPr>
          <w:rtl w:val="0"/>
        </w:rPr>
      </w:r>
    </w:p>
    <w:p w:rsidR="00000000" w:rsidDel="00000000" w:rsidP="00000000" w:rsidRDefault="00000000" w:rsidRPr="00000000" w14:paraId="00000074">
      <w:pPr>
        <w:numPr>
          <w:ilvl w:val="0"/>
          <w:numId w:val="2"/>
        </w:numPr>
        <w:shd w:fill="ffffff" w:val="clear"/>
        <w:spacing w:after="220" w:lineRule="auto"/>
        <w:ind w:left="720" w:hanging="360"/>
        <w:rPr>
          <w:sz w:val="24"/>
          <w:szCs w:val="24"/>
        </w:rPr>
      </w:pPr>
      <w:r w:rsidDel="00000000" w:rsidR="00000000" w:rsidRPr="00000000">
        <w:rPr>
          <w:rFonts w:ascii="Roboto" w:cs="Roboto" w:eastAsia="Roboto" w:hAnsi="Roboto"/>
          <w:color w:val="201f1e"/>
          <w:sz w:val="24"/>
          <w:szCs w:val="24"/>
          <w:rtl w:val="0"/>
        </w:rPr>
        <w:t xml:space="preserve">Take the average value among the 10k samples.</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6">
      <w:pPr>
        <w:jc w:val="center"/>
        <w:rPr>
          <w:sz w:val="20"/>
          <w:szCs w:val="20"/>
          <w:highlight w:val="white"/>
        </w:rPr>
      </w:pPr>
      <w:r w:rsidDel="00000000" w:rsidR="00000000" w:rsidRPr="00000000">
        <w:rPr>
          <w:sz w:val="20"/>
          <w:szCs w:val="20"/>
          <w:rtl w:val="0"/>
        </w:rPr>
        <w:t xml:space="preserve">Table 4  Probability of power outage</w:t>
      </w:r>
      <w:r w:rsidDel="00000000" w:rsidR="00000000" w:rsidRPr="00000000">
        <w:rPr>
          <w:rtl w:val="0"/>
        </w:rPr>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40" w:lineRule="auto"/>
              <w:rPr>
                <w:highlight w:val="white"/>
              </w:rPr>
            </w:pPr>
            <w:r w:rsidDel="00000000" w:rsidR="00000000" w:rsidRPr="00000000">
              <w:rPr>
                <w:highlight w:val="white"/>
                <w:rtl w:val="0"/>
              </w:rPr>
              <w:t xml:space="preserve">Probability of power outage</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40" w:lineRule="auto"/>
              <w:rPr>
                <w:highlight w:val="white"/>
              </w:rPr>
            </w:pPr>
            <w:sdt>
              <w:sdtPr>
                <w:tag w:val="goog_rdk_1"/>
              </w:sdtPr>
              <w:sdtContent>
                <w:r w:rsidDel="00000000" w:rsidR="00000000" w:rsidRPr="00000000">
                  <w:rPr>
                    <w:rFonts w:ascii="Arial Unicode MS" w:cs="Arial Unicode MS" w:eastAsia="Arial Unicode MS" w:hAnsi="Arial Unicode MS"/>
                    <w:highlight w:val="white"/>
                    <w:rtl w:val="0"/>
                  </w:rPr>
                  <w:t xml:space="preserve">⍴ value</w:t>
                </w:r>
              </w:sdtContent>
            </w:sdt>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79">
            <w:pPr>
              <w:rPr>
                <w:highlight w:val="white"/>
              </w:rPr>
            </w:pPr>
            <w:r w:rsidDel="00000000" w:rsidR="00000000" w:rsidRPr="00000000">
              <w:rPr>
                <w:highlight w:val="white"/>
                <w:rtl w:val="0"/>
              </w:rPr>
              <w:t xml:space="preserve">0.08308898511056029</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40" w:lineRule="auto"/>
              <w:rPr>
                <w:highlight w:val="white"/>
              </w:rPr>
            </w:pPr>
            <w:r w:rsidDel="00000000" w:rsidR="00000000" w:rsidRPr="00000000">
              <w:rPr>
                <w:highlight w:val="white"/>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7B">
            <w:pPr>
              <w:rPr>
                <w:highlight w:val="white"/>
              </w:rPr>
            </w:pPr>
            <w:r w:rsidDel="00000000" w:rsidR="00000000" w:rsidRPr="00000000">
              <w:rPr>
                <w:highlight w:val="white"/>
                <w:rtl w:val="0"/>
              </w:rPr>
              <w:t xml:space="preserve">0.12120824752164626</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240" w:lineRule="auto"/>
              <w:rPr>
                <w:highlight w:val="white"/>
              </w:rPr>
            </w:pPr>
            <w:r w:rsidDel="00000000" w:rsidR="00000000" w:rsidRPr="00000000">
              <w:rPr>
                <w:highlight w:val="white"/>
                <w:rtl w:val="0"/>
              </w:rPr>
              <w:t xml:space="preserve">0.1</w:t>
            </w:r>
          </w:p>
        </w:tc>
      </w:tr>
      <w:tr>
        <w:tc>
          <w:tcPr>
            <w:shd w:fill="auto" w:val="clear"/>
            <w:tcMar>
              <w:top w:w="100.0" w:type="dxa"/>
              <w:left w:w="100.0" w:type="dxa"/>
              <w:bottom w:w="100.0" w:type="dxa"/>
              <w:right w:w="100.0" w:type="dxa"/>
            </w:tcMar>
          </w:tcPr>
          <w:p w:rsidR="00000000" w:rsidDel="00000000" w:rsidP="00000000" w:rsidRDefault="00000000" w:rsidRPr="00000000" w14:paraId="0000007D">
            <w:pPr>
              <w:rPr>
                <w:highlight w:val="white"/>
              </w:rPr>
            </w:pPr>
            <w:r w:rsidDel="00000000" w:rsidR="00000000" w:rsidRPr="00000000">
              <w:rPr>
                <w:highlight w:val="white"/>
                <w:rtl w:val="0"/>
              </w:rPr>
              <w:t xml:space="preserve">0.12696702890850564</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40" w:lineRule="auto"/>
              <w:rPr>
                <w:highlight w:val="white"/>
              </w:rPr>
            </w:pPr>
            <w:r w:rsidDel="00000000" w:rsidR="00000000" w:rsidRPr="00000000">
              <w:rPr>
                <w:highlight w:val="white"/>
                <w:rtl w:val="0"/>
              </w:rPr>
              <w:t xml:space="preserve">0.2</w:t>
            </w:r>
          </w:p>
        </w:tc>
      </w:tr>
      <w:tr>
        <w:tc>
          <w:tcPr>
            <w:shd w:fill="auto" w:val="clear"/>
            <w:tcMar>
              <w:top w:w="100.0" w:type="dxa"/>
              <w:left w:w="100.0" w:type="dxa"/>
              <w:bottom w:w="100.0" w:type="dxa"/>
              <w:right w:w="100.0" w:type="dxa"/>
            </w:tcMar>
          </w:tcPr>
          <w:p w:rsidR="00000000" w:rsidDel="00000000" w:rsidP="00000000" w:rsidRDefault="00000000" w:rsidRPr="00000000" w14:paraId="0000007F">
            <w:pPr>
              <w:rPr>
                <w:highlight w:val="white"/>
              </w:rPr>
            </w:pPr>
            <w:r w:rsidDel="00000000" w:rsidR="00000000" w:rsidRPr="00000000">
              <w:rPr>
                <w:highlight w:val="white"/>
                <w:rtl w:val="0"/>
              </w:rPr>
              <w:t xml:space="preserve">0.12177476280931948</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240" w:lineRule="auto"/>
              <w:rPr>
                <w:highlight w:val="white"/>
              </w:rPr>
            </w:pPr>
            <w:r w:rsidDel="00000000" w:rsidR="00000000" w:rsidRPr="00000000">
              <w:rPr>
                <w:highlight w:val="white"/>
                <w:rtl w:val="0"/>
              </w:rPr>
              <w:t xml:space="preserve">0.3</w:t>
            </w:r>
          </w:p>
        </w:tc>
      </w:tr>
      <w:tr>
        <w:tc>
          <w:tcPr>
            <w:shd w:fill="auto" w:val="clear"/>
            <w:tcMar>
              <w:top w:w="100.0" w:type="dxa"/>
              <w:left w:w="100.0" w:type="dxa"/>
              <w:bottom w:w="100.0" w:type="dxa"/>
              <w:right w:w="100.0" w:type="dxa"/>
            </w:tcMar>
          </w:tcPr>
          <w:p w:rsidR="00000000" w:rsidDel="00000000" w:rsidP="00000000" w:rsidRDefault="00000000" w:rsidRPr="00000000" w14:paraId="00000081">
            <w:pPr>
              <w:rPr>
                <w:highlight w:val="white"/>
              </w:rPr>
            </w:pPr>
            <w:r w:rsidDel="00000000" w:rsidR="00000000" w:rsidRPr="00000000">
              <w:rPr>
                <w:highlight w:val="white"/>
                <w:rtl w:val="0"/>
              </w:rPr>
              <w:t xml:space="preserve">0.11199066307504149</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line="240" w:lineRule="auto"/>
              <w:rPr>
                <w:highlight w:val="white"/>
              </w:rPr>
            </w:pPr>
            <w:r w:rsidDel="00000000" w:rsidR="00000000" w:rsidRPr="00000000">
              <w:rPr>
                <w:highlight w:val="white"/>
                <w:rtl w:val="0"/>
              </w:rPr>
              <w:t xml:space="preserve">0.4</w:t>
            </w:r>
          </w:p>
        </w:tc>
      </w:tr>
      <w:tr>
        <w:tc>
          <w:tcPr>
            <w:shd w:fill="auto" w:val="clear"/>
            <w:tcMar>
              <w:top w:w="100.0" w:type="dxa"/>
              <w:left w:w="100.0" w:type="dxa"/>
              <w:bottom w:w="100.0" w:type="dxa"/>
              <w:right w:w="100.0" w:type="dxa"/>
            </w:tcMar>
          </w:tcPr>
          <w:p w:rsidR="00000000" w:rsidDel="00000000" w:rsidP="00000000" w:rsidRDefault="00000000" w:rsidRPr="00000000" w14:paraId="00000083">
            <w:pPr>
              <w:rPr>
                <w:highlight w:val="white"/>
              </w:rPr>
            </w:pPr>
            <w:r w:rsidDel="00000000" w:rsidR="00000000" w:rsidRPr="00000000">
              <w:rPr>
                <w:highlight w:val="white"/>
                <w:rtl w:val="0"/>
              </w:rPr>
              <w:t xml:space="preserve">0.09988755516455056</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line="240" w:lineRule="auto"/>
              <w:rPr>
                <w:highlight w:val="white"/>
              </w:rPr>
            </w:pPr>
            <w:r w:rsidDel="00000000" w:rsidR="00000000" w:rsidRPr="00000000">
              <w:rPr>
                <w:highlight w:val="white"/>
                <w:rtl w:val="0"/>
              </w:rPr>
              <w:t xml:space="preserve">0.5</w:t>
            </w:r>
          </w:p>
        </w:tc>
      </w:tr>
      <w:tr>
        <w:tc>
          <w:tcPr>
            <w:shd w:fill="auto" w:val="clear"/>
            <w:tcMar>
              <w:top w:w="100.0" w:type="dxa"/>
              <w:left w:w="100.0" w:type="dxa"/>
              <w:bottom w:w="100.0" w:type="dxa"/>
              <w:right w:w="100.0" w:type="dxa"/>
            </w:tcMar>
          </w:tcPr>
          <w:p w:rsidR="00000000" w:rsidDel="00000000" w:rsidP="00000000" w:rsidRDefault="00000000" w:rsidRPr="00000000" w14:paraId="00000085">
            <w:pPr>
              <w:rPr>
                <w:highlight w:val="white"/>
              </w:rPr>
            </w:pPr>
            <w:r w:rsidDel="00000000" w:rsidR="00000000" w:rsidRPr="00000000">
              <w:rPr>
                <w:highlight w:val="white"/>
                <w:rtl w:val="0"/>
              </w:rPr>
              <w:t xml:space="preserve">0.08634118433132605</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line="240" w:lineRule="auto"/>
              <w:rPr>
                <w:highlight w:val="white"/>
              </w:rPr>
            </w:pPr>
            <w:r w:rsidDel="00000000" w:rsidR="00000000" w:rsidRPr="00000000">
              <w:rPr>
                <w:highlight w:val="white"/>
                <w:rtl w:val="0"/>
              </w:rPr>
              <w:t xml:space="preserve">0.6</w:t>
            </w:r>
          </w:p>
        </w:tc>
      </w:tr>
      <w:tr>
        <w:tc>
          <w:tcPr>
            <w:shd w:fill="auto" w:val="clear"/>
            <w:tcMar>
              <w:top w:w="100.0" w:type="dxa"/>
              <w:left w:w="100.0" w:type="dxa"/>
              <w:bottom w:w="100.0" w:type="dxa"/>
              <w:right w:w="100.0" w:type="dxa"/>
            </w:tcMar>
          </w:tcPr>
          <w:p w:rsidR="00000000" w:rsidDel="00000000" w:rsidP="00000000" w:rsidRDefault="00000000" w:rsidRPr="00000000" w14:paraId="00000087">
            <w:pPr>
              <w:rPr>
                <w:highlight w:val="white"/>
              </w:rPr>
            </w:pPr>
            <w:r w:rsidDel="00000000" w:rsidR="00000000" w:rsidRPr="00000000">
              <w:rPr>
                <w:highlight w:val="white"/>
                <w:rtl w:val="0"/>
              </w:rPr>
              <w:t xml:space="preserve">0.07165876854292016</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line="240" w:lineRule="auto"/>
              <w:rPr>
                <w:highlight w:val="white"/>
              </w:rPr>
            </w:pPr>
            <w:r w:rsidDel="00000000" w:rsidR="00000000" w:rsidRPr="00000000">
              <w:rPr>
                <w:highlight w:val="white"/>
                <w:rtl w:val="0"/>
              </w:rPr>
              <w:t xml:space="preserve">0.7</w:t>
            </w:r>
          </w:p>
        </w:tc>
      </w:tr>
      <w:tr>
        <w:tc>
          <w:tcPr>
            <w:shd w:fill="auto" w:val="clear"/>
            <w:tcMar>
              <w:top w:w="100.0" w:type="dxa"/>
              <w:left w:w="100.0" w:type="dxa"/>
              <w:bottom w:w="100.0" w:type="dxa"/>
              <w:right w:w="100.0" w:type="dxa"/>
            </w:tcMar>
          </w:tcPr>
          <w:p w:rsidR="00000000" w:rsidDel="00000000" w:rsidP="00000000" w:rsidRDefault="00000000" w:rsidRPr="00000000" w14:paraId="00000089">
            <w:pPr>
              <w:rPr>
                <w:highlight w:val="white"/>
              </w:rPr>
            </w:pPr>
            <w:r w:rsidDel="00000000" w:rsidR="00000000" w:rsidRPr="00000000">
              <w:rPr>
                <w:highlight w:val="white"/>
                <w:rtl w:val="0"/>
              </w:rPr>
              <w:t xml:space="preserve">0.05580119047799634</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240" w:lineRule="auto"/>
              <w:rPr>
                <w:highlight w:val="white"/>
              </w:rPr>
            </w:pPr>
            <w:r w:rsidDel="00000000" w:rsidR="00000000" w:rsidRPr="00000000">
              <w:rPr>
                <w:highlight w:val="white"/>
                <w:rtl w:val="0"/>
              </w:rPr>
              <w:t xml:space="preserve">0.8</w:t>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The probability of power outage, or Pr(number of working turbines &lt; 100) values when ⍴ ranges from 0 to 0.8 are shown in Table 4.</w:t>
          </w:r>
        </w:sdtContent>
      </w:sdt>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sz w:val="24"/>
          <w:szCs w:val="24"/>
        </w:rPr>
      </w:pPr>
      <w:r w:rsidDel="00000000" w:rsidR="00000000" w:rsidRPr="00000000">
        <w:rPr>
          <w:b w:val="1"/>
          <w:sz w:val="24"/>
          <w:szCs w:val="24"/>
          <w:rtl w:val="0"/>
        </w:rPr>
        <w:t xml:space="preserve">Q2.2</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sdt>
        <w:sdtPr>
          <w:tag w:val="goog_rdk_3"/>
        </w:sdtPr>
        <w:sdtContent>
          <w:r w:rsidDel="00000000" w:rsidR="00000000" w:rsidRPr="00000000">
            <w:rPr>
              <w:rFonts w:ascii="Arial Unicode MS" w:cs="Arial Unicode MS" w:eastAsia="Arial Unicode MS" w:hAnsi="Arial Unicode MS"/>
              <w:sz w:val="24"/>
              <w:szCs w:val="24"/>
              <w:rtl w:val="0"/>
            </w:rPr>
            <w:t xml:space="preserve">Using the same methodology above, we calculate the maximum probability of power outage among when ⍴ values range from 0 to 0.8, by iterating the value of N from 101 to 1000. We can observe that, the maximum probability of power outage among when ⍴ values range from 0 to 0.8 drops as N becomes larger in value. For the chart below, y axis is the maximum probability of power outage among when ⍴ values range from 0 to 0.8, the x axis is the value of N.</w:t>
          </w:r>
        </w:sdtContent>
      </w:sdt>
    </w:p>
    <w:p w:rsidR="00000000" w:rsidDel="00000000" w:rsidP="00000000" w:rsidRDefault="00000000" w:rsidRPr="00000000" w14:paraId="00000090">
      <w:pPr>
        <w:rPr>
          <w:sz w:val="21"/>
          <w:szCs w:val="21"/>
          <w:highlight w:val="white"/>
        </w:rPr>
      </w:pPr>
      <w:r w:rsidDel="00000000" w:rsidR="00000000" w:rsidRPr="00000000">
        <w:rPr>
          <w:rtl w:val="0"/>
        </w:rPr>
      </w:r>
    </w:p>
    <w:p w:rsidR="00000000" w:rsidDel="00000000" w:rsidP="00000000" w:rsidRDefault="00000000" w:rsidRPr="00000000" w14:paraId="00000091">
      <w:pPr>
        <w:jc w:val="center"/>
        <w:rPr>
          <w:sz w:val="21"/>
          <w:szCs w:val="21"/>
          <w:highlight w:val="white"/>
        </w:rPr>
      </w:pPr>
      <w:r w:rsidDel="00000000" w:rsidR="00000000" w:rsidRPr="00000000">
        <w:rPr>
          <w:sz w:val="21"/>
          <w:szCs w:val="21"/>
          <w:highlight w:val="white"/>
        </w:rPr>
        <w:drawing>
          <wp:inline distB="114300" distT="114300" distL="114300" distR="114300">
            <wp:extent cx="3600450" cy="2362200"/>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6004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sz w:val="21"/>
          <w:szCs w:val="21"/>
          <w:highlight w:val="white"/>
        </w:rPr>
      </w:pPr>
      <w:r w:rsidDel="00000000" w:rsidR="00000000" w:rsidRPr="00000000">
        <w:rPr>
          <w:sz w:val="20"/>
          <w:szCs w:val="20"/>
          <w:rtl w:val="0"/>
        </w:rPr>
        <w:t xml:space="preserve">Figure 6 M</w:t>
      </w:r>
      <w:r w:rsidDel="00000000" w:rsidR="00000000" w:rsidRPr="00000000">
        <w:rPr>
          <w:rtl w:val="0"/>
        </w:rPr>
        <w:t xml:space="preserve">aximum probability of power outage</w:t>
      </w:r>
      <w:r w:rsidDel="00000000" w:rsidR="00000000" w:rsidRPr="00000000">
        <w:rPr>
          <w:rtl w:val="0"/>
        </w:rPr>
      </w:r>
    </w:p>
    <w:p w:rsidR="00000000" w:rsidDel="00000000" w:rsidP="00000000" w:rsidRDefault="00000000" w:rsidRPr="00000000" w14:paraId="00000093">
      <w:pPr>
        <w:jc w:val="center"/>
        <w:rPr>
          <w:sz w:val="24"/>
          <w:szCs w:val="24"/>
          <w:highlight w:val="white"/>
        </w:rPr>
      </w:pPr>
      <w:r w:rsidDel="00000000" w:rsidR="00000000" w:rsidRPr="00000000">
        <w:rPr>
          <w:rtl w:val="0"/>
        </w:rPr>
      </w:r>
    </w:p>
    <w:p w:rsidR="00000000" w:rsidDel="00000000" w:rsidP="00000000" w:rsidRDefault="00000000" w:rsidRPr="00000000" w14:paraId="00000094">
      <w:pPr>
        <w:rPr>
          <w:sz w:val="24"/>
          <w:szCs w:val="24"/>
        </w:rPr>
      </w:pPr>
      <w:sdt>
        <w:sdtPr>
          <w:tag w:val="goog_rdk_4"/>
        </w:sdtPr>
        <w:sdtContent>
          <w:r w:rsidDel="00000000" w:rsidR="00000000" w:rsidRPr="00000000">
            <w:rPr>
              <w:rFonts w:ascii="Arial Unicode MS" w:cs="Arial Unicode MS" w:eastAsia="Arial Unicode MS" w:hAnsi="Arial Unicode MS"/>
              <w:sz w:val="24"/>
              <w:szCs w:val="24"/>
              <w:rtl w:val="0"/>
            </w:rPr>
            <w:t xml:space="preserve">From the result list of the maximum probability of power outage among when ⍴ values range from 0 to 0.8, we can find the smallest N value when the probability value drops just below 0.1%. The value we obtain is when N = 810, and the corresponding max probability is 0.099869%.</w:t>
          </w:r>
        </w:sdtContent>
      </w:sdt>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01f1e"/>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eastAsia="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xDBXJRJytOBIaDUi8xrwODasFw==">AMUW2mXF5PGiMPEWJv60BeqXo9jWbbE4XM8rLUOh/QK+bBbhD6cYUyY+Gtjytfk2EMDnYdWqUpfYRaLcQkHv4ZPmm+H5+/YBmRIajQB5rtXiejgUQRWBQD3fw0nyx9OIBLlUkoUR/HeKTsnAZCSvxxg0k/EvXW2PZ6HB4k35EV5bMvh0eguzNJ4nGA9v/oU8X+v5oijSxAQ7hYjqs4G9iuvtMFd1lRnkcCIBL+R1FGq9aJv2aw8b0HEWBmBoaYxLJ7Q+PgaFM6YBae0zVyJVSdalvwU/okIr4cImnksBDmsWK+63tK+MUVVr1gE3bE5fs7H1sKQ/vwzRwG2Wr45+FKBf4/zPXww5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2021-04-26T11:24:00Z</dcterms:created>
</cp:coreProperties>
</file>