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HDFC Asset Management Company Limited (HDFC AMC)</w:t>
      </w:r>
    </w:p>
    <w:p>
      <w:pPr>
        <w:pStyle w:val="Heading2"/>
      </w:pPr>
      <w:r>
        <w:t>Corporate Profile, Mutual Fund Operations and Financial Disclosures</w:t>
      </w:r>
    </w:p>
    <w:p>
      <w:r>
        <w:t>HDFC Asset Management Company Limited (HDFC AMC) is one of India's largest and most profitable mutual fund managers. The company was incorporated in 1999 and is approved by the Securities and Exchange Board of India (SEBI) under SEBI (Mutual Funds) Regulations, 1996. HDFC AMC acts as the investment manager to the schemes of HDFC Mutual Fund.</w:t>
      </w:r>
    </w:p>
    <w:p>
      <w:pPr>
        <w:pStyle w:val="Heading2"/>
      </w:pPr>
      <w:r>
        <w:t>1. Management and Board Governance</w:t>
      </w:r>
    </w:p>
    <w:p>
      <w:r>
        <w:t>Key Leadership:</w:t>
        <w:br/>
        <w:t>• Navneet Munot - Managing Director &amp; Chief Executive Officer (MD &amp; CEO)</w:t>
        <w:br/>
        <w:t>• Simal Kanuga - Chief Investor Relations Officer</w:t>
        <w:br/>
        <w:t>• John Mathews - Head of Client Services</w:t>
        <w:br/>
        <w:br/>
        <w:t>The Board of Directors maintains independent Audit, Risk Management, Nomination and Remuneration, and Stakeholders Relationship Committees ensuring compliance with SEBI Listing Obligations and Disclosure Requirements (LODR) Regulations, 2015.</w:t>
      </w:r>
    </w:p>
    <w:p>
      <w:pPr>
        <w:pStyle w:val="Heading2"/>
      </w:pPr>
      <w:r>
        <w:t>2. Assets Under Management (AUM) and Market Share</w:t>
      </w:r>
    </w:p>
    <w:p>
      <w:r>
        <w:t>As reported in official filings with the National Stock Exchange of India (NSE: HDFCAMC) and BSE (BSE: 541729), HDFC AMC's Quarterly Average AUM (QAAUM) is distributed across key asset classes as follows:</w:t>
      </w:r>
    </w:p>
    <w:tbl>
      <w:tblPr>
        <w:tblW w:type="auto" w:w="0"/>
        <w:tblLook w:firstColumn="1" w:firstRow="1" w:lastColumn="0" w:lastRow="0" w:noHBand="0" w:noVBand="1" w:val="04A0"/>
      </w:tblPr>
      <w:tblGrid>
        <w:gridCol w:w="2160"/>
        <w:gridCol w:w="2160"/>
        <w:gridCol w:w="2160"/>
        <w:gridCol w:w="2160"/>
      </w:tblGrid>
      <w:tr>
        <w:tc>
          <w:tcPr>
            <w:tcW w:type="dxa" w:w="2160"/>
          </w:tcPr>
          <w:p>
            <w:r>
              <w:t>Asset Class Segment</w:t>
            </w:r>
          </w:p>
        </w:tc>
        <w:tc>
          <w:tcPr>
            <w:tcW w:type="dxa" w:w="2160"/>
          </w:tcPr>
          <w:p>
            <w:r>
              <w:t>AUM Mix (%)</w:t>
            </w:r>
          </w:p>
        </w:tc>
        <w:tc>
          <w:tcPr>
            <w:tcW w:type="dxa" w:w="2160"/>
          </w:tcPr>
          <w:p>
            <w:r>
              <w:t>Industry Position</w:t>
            </w:r>
          </w:p>
        </w:tc>
        <w:tc>
          <w:tcPr>
            <w:tcW w:type="dxa" w:w="2160"/>
          </w:tcPr>
          <w:p>
            <w:r>
              <w:t>Key Investment Style</w:t>
            </w:r>
          </w:p>
        </w:tc>
      </w:tr>
      <w:tr>
        <w:tc>
          <w:tcPr>
            <w:tcW w:type="dxa" w:w="2160"/>
          </w:tcPr>
          <w:p>
            <w:r>
              <w:t>Actively Managed Equity Funds</w:t>
            </w:r>
          </w:p>
        </w:tc>
        <w:tc>
          <w:tcPr>
            <w:tcW w:type="dxa" w:w="2160"/>
          </w:tcPr>
          <w:p>
            <w:r>
              <w:t>57.6%</w:t>
            </w:r>
          </w:p>
        </w:tc>
        <w:tc>
          <w:tcPr>
            <w:tcW w:type="dxa" w:w="2160"/>
          </w:tcPr>
          <w:p>
            <w:r>
              <w:t>Rank 1 / 2 in India</w:t>
            </w:r>
          </w:p>
        </w:tc>
        <w:tc>
          <w:tcPr>
            <w:tcW w:type="dxa" w:w="2160"/>
          </w:tcPr>
          <w:p>
            <w:r>
              <w:t>Bottom-up stock selection, high ROE focus</w:t>
            </w:r>
          </w:p>
        </w:tc>
      </w:tr>
      <w:tr>
        <w:tc>
          <w:tcPr>
            <w:tcW w:type="dxa" w:w="2160"/>
          </w:tcPr>
          <w:p>
            <w:r>
              <w:t>Debt &amp; Fixed Income Funds</w:t>
            </w:r>
          </w:p>
        </w:tc>
        <w:tc>
          <w:tcPr>
            <w:tcW w:type="dxa" w:w="2160"/>
          </w:tcPr>
          <w:p>
            <w:r>
              <w:t>22.4%</w:t>
            </w:r>
          </w:p>
        </w:tc>
        <w:tc>
          <w:tcPr>
            <w:tcW w:type="dxa" w:w="2160"/>
          </w:tcPr>
          <w:p>
            <w:r>
              <w:t>Top 3 in India</w:t>
            </w:r>
          </w:p>
        </w:tc>
        <w:tc>
          <w:tcPr>
            <w:tcW w:type="dxa" w:w="2160"/>
          </w:tcPr>
          <w:p>
            <w:r>
              <w:t>High accrual, AAA sovereign concentration</w:t>
            </w:r>
          </w:p>
        </w:tc>
      </w:tr>
      <w:tr>
        <w:tc>
          <w:tcPr>
            <w:tcW w:type="dxa" w:w="2160"/>
          </w:tcPr>
          <w:p>
            <w:r>
              <w:t>Liquid &amp; Money Market Funds</w:t>
            </w:r>
          </w:p>
        </w:tc>
        <w:tc>
          <w:tcPr>
            <w:tcW w:type="dxa" w:w="2160"/>
          </w:tcPr>
          <w:p>
            <w:r>
              <w:t>14.2%</w:t>
            </w:r>
          </w:p>
        </w:tc>
        <w:tc>
          <w:tcPr>
            <w:tcW w:type="dxa" w:w="2160"/>
          </w:tcPr>
          <w:p>
            <w:r>
              <w:t>Market Leader</w:t>
            </w:r>
          </w:p>
        </w:tc>
        <w:tc>
          <w:tcPr>
            <w:tcW w:type="dxa" w:w="2160"/>
          </w:tcPr>
          <w:p>
            <w:r>
              <w:t>Strict liquidity and counterparty caps</w:t>
            </w:r>
          </w:p>
        </w:tc>
      </w:tr>
      <w:tr>
        <w:tc>
          <w:tcPr>
            <w:tcW w:type="dxa" w:w="2160"/>
          </w:tcPr>
          <w:p>
            <w:r>
              <w:t>Arbitrage &amp; Hybrid Funds</w:t>
            </w:r>
          </w:p>
        </w:tc>
        <w:tc>
          <w:tcPr>
            <w:tcW w:type="dxa" w:w="2160"/>
          </w:tcPr>
          <w:p>
            <w:r>
              <w:t>5.8%</w:t>
            </w:r>
          </w:p>
        </w:tc>
        <w:tc>
          <w:tcPr>
            <w:tcW w:type="dxa" w:w="2160"/>
          </w:tcPr>
          <w:p>
            <w:r>
              <w:t>Top Tier</w:t>
            </w:r>
          </w:p>
        </w:tc>
        <w:tc>
          <w:tcPr>
            <w:tcW w:type="dxa" w:w="2160"/>
          </w:tcPr>
          <w:p>
            <w:r>
              <w:t>Dynamic risk management &amp; tax efficiency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HDFC Asset Management Company Limited - Corporate Profile &amp; Regulatory Disclosures</dc:title>
  <dc:subject/>
  <dc:creator>HDFC Asset Management Company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