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UTI Asset Management Company Limited (UTI AMC)</w:t>
      </w:r>
    </w:p>
    <w:p>
      <w:pPr>
        <w:pStyle w:val="Heading2"/>
      </w:pPr>
      <w:r>
        <w:t>1. Legacy and Institutional Mandate</w:t>
      </w:r>
    </w:p>
    <w:p>
      <w:r>
        <w:t>UTI AMC is the pioneer of the Indian mutual fund industry, tracing its origin to the erstwhile Unit Trust of India established by an Act of Parliament in 1963. Today, UTI AMC operates as a SEBI-registered asset manager listed on both NSE (UTIAMC) and BSE (543238), managing domestic mutual funds, portfolio management services (PMS), and international sovereign wealth mandates.</w:t>
      </w:r>
    </w:p>
    <w:p>
      <w:pPr>
        <w:pStyle w:val="Heading2"/>
      </w:pPr>
      <w:r>
        <w:t>2. Corporate Leadership and Governance</w:t>
      </w:r>
    </w:p>
    <w:p>
      <w:r>
        <w:t>Key Executives:</w:t>
        <w:br/>
        <w:t>• Imtaiyazur Rahman - Managing Director &amp; Chief Executive Officer (MD &amp; CEO)</w:t>
        <w:br/>
        <w:t>• Surojit Saha - Chief Financial Officer (CFO)</w:t>
        <w:br/>
        <w:t>• Vetri Subramaniam - Chief Investment Officer (CIO)</w:t>
        <w:br/>
        <w:t>UTI AMC adheres strictly to the SEBI Stewardship Code, actively exercising proxy voting rights to safeguard unitholder interests.</w:t>
      </w:r>
    </w:p>
    <w:tbl>
      <w:tblPr>
        <w:tblW w:type="auto" w:w="0"/>
        <w:tblLook w:firstColumn="1" w:firstRow="1" w:lastColumn="0" w:lastRow="0" w:noHBand="0" w:noVBand="1" w:val="04A0"/>
      </w:tblPr>
      <w:tblGrid>
        <w:gridCol w:w="2160"/>
        <w:gridCol w:w="2160"/>
        <w:gridCol w:w="2160"/>
        <w:gridCol w:w="2160"/>
      </w:tblGrid>
      <w:tr>
        <w:tc>
          <w:tcPr>
            <w:tcW w:type="dxa" w:w="2160"/>
          </w:tcPr>
          <w:p>
            <w:r>
              <w:t>Business Segment</w:t>
            </w:r>
          </w:p>
        </w:tc>
        <w:tc>
          <w:tcPr>
            <w:tcW w:type="dxa" w:w="2160"/>
          </w:tcPr>
          <w:p>
            <w:r>
              <w:t>AUM Contribution</w:t>
            </w:r>
          </w:p>
        </w:tc>
        <w:tc>
          <w:tcPr>
            <w:tcW w:type="dxa" w:w="2160"/>
          </w:tcPr>
          <w:p>
            <w:r>
              <w:t>Investor Profile</w:t>
            </w:r>
          </w:p>
        </w:tc>
        <w:tc>
          <w:tcPr>
            <w:tcW w:type="dxa" w:w="2160"/>
          </w:tcPr>
          <w:p>
            <w:r>
              <w:t>Compliance Mechanism</w:t>
            </w:r>
          </w:p>
        </w:tc>
      </w:tr>
      <w:tr>
        <w:tc>
          <w:tcPr>
            <w:tcW w:type="dxa" w:w="2160"/>
          </w:tcPr>
          <w:p>
            <w:r>
              <w:t>Domestic Mutual Funds (UTI MF)</w:t>
            </w:r>
          </w:p>
        </w:tc>
        <w:tc>
          <w:tcPr>
            <w:tcW w:type="dxa" w:w="2160"/>
          </w:tcPr>
          <w:p>
            <w:r>
              <w:t>Over INR 2.8 Lakh Crores</w:t>
            </w:r>
          </w:p>
        </w:tc>
        <w:tc>
          <w:tcPr>
            <w:tcW w:type="dxa" w:w="2160"/>
          </w:tcPr>
          <w:p>
            <w:r>
              <w:t>Retail, HNI &amp; Corporate</w:t>
            </w:r>
          </w:p>
        </w:tc>
        <w:tc>
          <w:tcPr>
            <w:tcW w:type="dxa" w:w="2160"/>
          </w:tcPr>
          <w:p>
            <w:r>
              <w:t>SEBI 7th Schedule Prudential Limits</w:t>
            </w:r>
          </w:p>
        </w:tc>
      </w:tr>
      <w:tr>
        <w:tc>
          <w:tcPr>
            <w:tcW w:type="dxa" w:w="2160"/>
          </w:tcPr>
          <w:p>
            <w:r>
              <w:t>NPS Retirement Funds</w:t>
            </w:r>
          </w:p>
        </w:tc>
        <w:tc>
          <w:tcPr>
            <w:tcW w:type="dxa" w:w="2160"/>
          </w:tcPr>
          <w:p>
            <w:r>
              <w:t>Over INR 2.5 Lakh Crores</w:t>
            </w:r>
          </w:p>
        </w:tc>
        <w:tc>
          <w:tcPr>
            <w:tcW w:type="dxa" w:w="2160"/>
          </w:tcPr>
          <w:p>
            <w:r>
              <w:t>Government &amp; Private Workforce</w:t>
            </w:r>
          </w:p>
        </w:tc>
        <w:tc>
          <w:tcPr>
            <w:tcW w:type="dxa" w:w="2160"/>
          </w:tcPr>
          <w:p>
            <w:r>
              <w:t>PFRDA Investment Guidelines</w:t>
            </w:r>
          </w:p>
        </w:tc>
      </w:tr>
      <w:tr>
        <w:tc>
          <w:tcPr>
            <w:tcW w:type="dxa" w:w="2160"/>
          </w:tcPr>
          <w:p>
            <w:r>
              <w:t>Offshore / International Funds</w:t>
            </w:r>
          </w:p>
        </w:tc>
        <w:tc>
          <w:tcPr>
            <w:tcW w:type="dxa" w:w="2160"/>
          </w:tcPr>
          <w:p>
            <w:r>
              <w:t>Over USD 3.5 Billion</w:t>
            </w:r>
          </w:p>
        </w:tc>
        <w:tc>
          <w:tcPr>
            <w:tcW w:type="dxa" w:w="2160"/>
          </w:tcPr>
          <w:p>
            <w:r>
              <w:t>Global Sovereign &amp; Institutional</w:t>
            </w:r>
          </w:p>
        </w:tc>
        <w:tc>
          <w:tcPr>
            <w:tcW w:type="dxa" w:w="2160"/>
          </w:tcPr>
          <w:p>
            <w:r>
              <w:t>GIFT City &amp; UCITS compliance</w:t>
            </w:r>
          </w:p>
        </w:tc>
      </w:tr>
      <w:tr>
        <w:tc>
          <w:tcPr>
            <w:tcW w:type="dxa" w:w="2160"/>
          </w:tcPr>
          <w:p>
            <w:r>
              <w:t>PMS &amp; Alternative Assets</w:t>
            </w:r>
          </w:p>
        </w:tc>
        <w:tc>
          <w:tcPr>
            <w:tcW w:type="dxa" w:w="2160"/>
          </w:tcPr>
          <w:p>
            <w:r>
              <w:t>Over INR 12,000 Crores</w:t>
            </w:r>
          </w:p>
        </w:tc>
        <w:tc>
          <w:tcPr>
            <w:tcW w:type="dxa" w:w="2160"/>
          </w:tcPr>
          <w:p>
            <w:r>
              <w:t>HNIs &amp; Family Offices</w:t>
            </w:r>
          </w:p>
        </w:tc>
        <w:tc>
          <w:tcPr>
            <w:tcW w:type="dxa" w:w="2160"/>
          </w:tcPr>
          <w:p>
            <w:r>
              <w:t>SEBI PMS Regulations 2020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 Asset Management Company Limited - Corporate Review &amp; Mutual Fund Operations</dc:title>
  <dc:subject/>
  <dc:creator>UTI Asset Management Company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