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40"/>
      </w:pPr>
      <w:r>
        <w:rPr>
          <w:rFonts w:ascii="Calibri" w:hAnsi="Calibri" w:cs="Tahoma"/>
          <w:b/>
          <w:color w:val="203E32"/>
          <w:sz w:val="40"/>
          <w:szCs w:val="40"/>
        </w:rPr>
        <w:t xml:space="preserve">Product Overview</w:t>
      </w:r>
    </w:p>
    <w:p>
      <w:pPr>
        <w:spacing w:after="160"/>
      </w:pPr>
      <w:r>
        <w:rPr>
          <w:rFonts w:ascii="Calibri" w:hAnsi="Calibri" w:cs="Tahoma"/>
          <w:color w:val="1F2A24"/>
          <w:sz w:val="22"/>
          <w:szCs w:val="22"/>
        </w:rPr>
        <w:t xml:space="preserve">Lingo turns a </w:t>
      </w:r>
      <w:r>
        <w:rPr>
          <w:rFonts w:ascii="Calibri" w:hAnsi="Calibri" w:cs="Tahoma"/>
          <w:b/>
          <w:color w:val="1F2A24"/>
          <w:sz w:val="22"/>
          <w:szCs w:val="22"/>
        </w:rPr>
        <w:t xml:space="preserve">folder of documents</w:t>
      </w:r>
      <w:r>
        <w:rPr>
          <w:rFonts w:ascii="Calibri" w:hAnsi="Calibri" w:cs="Tahoma"/>
          <w:color w:val="1F2A24"/>
          <w:sz w:val="22"/>
          <w:szCs w:val="22"/>
        </w:rPr>
        <w:t xml:space="preserve"> into a multilingual set in one workspace.</w:t>
      </w:r>
    </w:p>
    <w:p>
      <w:pPr>
        <w:spacing w:after="160"/>
      </w:pPr>
      <w:r>
        <w:rPr>
          <w:rFonts w:ascii="Calibri" w:hAnsi="Calibri" w:cs="Tahoma"/>
          <w:color w:val="1F2A24"/>
          <w:sz w:val="22"/>
          <w:szCs w:val="22"/>
        </w:rPr>
        <w:t xml:space="preserve">Upload your files, pick a target language and a tone, then translate the whole batch at once.</w:t>
      </w:r>
    </w:p>
    <w:p>
      <w:pPr>
        <w:spacing w:after="120"/>
      </w:pPr>
      <w:r>
        <w:rPr>
          <w:rFonts w:ascii="Calibri" w:hAnsi="Calibri" w:cs="Tahoma"/>
          <w:b/>
          <w:color w:val="385742"/>
          <w:sz w:val="28"/>
          <w:szCs w:val="28"/>
        </w:rPr>
        <w:t xml:space="preserve">Key features</w:t>
      </w:r>
    </w:p>
    <w:tbl>
      <w:tblPr>
        <w:tblW w:w="9000" w:type="dxa"/>
        <w:tblBorders>
          <w:top w:val="single" w:sz="6" w:color="CFD8C9"/>
          <w:left w:val="single" w:sz="6" w:color="CFD8C9"/>
          <w:bottom w:val="single" w:sz="6" w:color="CFD8C9"/>
          <w:right w:val="single" w:sz="6" w:color="CFD8C9"/>
          <w:insideH w:val="single" w:sz="6" w:color="CFD8C9"/>
          <w:insideV w:val="single" w:sz="6" w:color="CFD8C9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EDF2E6"/>
          </w:tcPr>
          <w:p>
            <w:pPr>
              <w:spacing w:after="60"/>
            </w:pPr>
            <w:r>
              <w:rPr>
                <w:rFonts w:ascii="Calibri" w:hAnsi="Calibri" w:cs="Tahoma"/>
                <w:b/>
                <w:color w:val="1F2A24"/>
                <w:sz w:val="22"/>
                <w:szCs w:val="22"/>
              </w:rPr>
              <w:t xml:space="preserve">Feature</w:t>
            </w:r>
          </w:p>
        </w:tc>
        <w:tc>
          <w:tcPr>
            <w:tcW w:w="4500" w:type="dxa"/>
            <w:shd w:val="clear" w:color="auto" w:fill="EDF2E6"/>
          </w:tcPr>
          <w:p>
            <w:pPr>
              <w:spacing w:after="60"/>
            </w:pPr>
            <w:r>
              <w:rPr>
                <w:rFonts w:ascii="Calibri" w:hAnsi="Calibri" w:cs="Tahoma"/>
                <w:b/>
                <w:color w:val="1F2A24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w="4500" w:type="dxa"/>
          </w:tcPr>
          <w:p>
            <w:pPr>
              <w:spacing w:after="60"/>
            </w:pPr>
            <w:r>
              <w:rPr>
                <w:rFonts w:ascii="Calibri" w:hAnsi="Calibri" w:cs="Tahoma"/>
                <w:color w:val="1F2A24"/>
                <w:sz w:val="22"/>
                <w:szCs w:val="22"/>
              </w:rPr>
              <w:t xml:space="preserve">Batch translation</w:t>
            </w:r>
          </w:p>
        </w:tc>
        <w:tc>
          <w:tcPr>
            <w:tcW w:w="4500" w:type="dxa"/>
          </w:tcPr>
          <w:p>
            <w:pPr>
              <w:spacing w:after="60"/>
            </w:pPr>
            <w:r>
              <w:rPr>
                <w:rFonts w:ascii="Calibri" w:hAnsi="Calibri" w:cs="Tahoma"/>
                <w:color w:val="1F2A24"/>
                <w:sz w:val="22"/>
                <w:szCs w:val="22"/>
              </w:rPr>
              <w:t xml:space="preserve">Translate up to ten files in one click.</w:t>
            </w:r>
          </w:p>
        </w:tc>
      </w:tr>
      <w:tr>
        <w:tc>
          <w:tcPr>
            <w:tcW w:w="4500" w:type="dxa"/>
          </w:tcPr>
          <w:p>
            <w:pPr>
              <w:spacing w:after="60"/>
            </w:pPr>
            <w:r>
              <w:rPr>
                <w:rFonts w:ascii="Calibri" w:hAnsi="Calibri" w:cs="Tahoma"/>
                <w:color w:val="1F2A24"/>
                <w:sz w:val="22"/>
                <w:szCs w:val="22"/>
              </w:rPr>
              <w:t xml:space="preserve">Format preservation</w:t>
            </w:r>
          </w:p>
        </w:tc>
        <w:tc>
          <w:tcPr>
            <w:tcW w:w="4500" w:type="dxa"/>
          </w:tcPr>
          <w:p>
            <w:pPr>
              <w:spacing w:after="60"/>
            </w:pPr>
            <w:r>
              <w:rPr>
                <w:rFonts w:ascii="Calibri" w:hAnsi="Calibri" w:cs="Tahoma"/>
                <w:color w:val="1F2A24"/>
                <w:sz w:val="22"/>
                <w:szCs w:val="22"/>
              </w:rPr>
              <w:t xml:space="preserve">Tables, fonts and layout stay exactly as they were.</w:t>
            </w:r>
          </w:p>
        </w:tc>
      </w:tr>
      <w:tr>
        <w:tc>
          <w:tcPr>
            <w:tcW w:w="4500" w:type="dxa"/>
          </w:tcPr>
          <w:p>
            <w:pPr>
              <w:spacing w:after="60"/>
            </w:pPr>
            <w:r>
              <w:rPr>
                <w:rFonts w:ascii="Calibri" w:hAnsi="Calibri" w:cs="Tahoma"/>
                <w:color w:val="1F2A24"/>
                <w:sz w:val="22"/>
                <w:szCs w:val="22"/>
              </w:rPr>
              <w:t xml:space="preserve">Shared glossary</w:t>
            </w:r>
          </w:p>
        </w:tc>
        <w:tc>
          <w:tcPr>
            <w:tcW w:w="4500" w:type="dxa"/>
          </w:tcPr>
          <w:p>
            <w:pPr>
              <w:spacing w:after="60"/>
            </w:pPr>
            <w:r>
              <w:rPr>
                <w:rFonts w:ascii="Calibri" w:hAnsi="Calibri" w:cs="Tahoma"/>
                <w:color w:val="1F2A24"/>
                <w:sz w:val="22"/>
                <w:szCs w:val="22"/>
              </w:rPr>
              <w:t xml:space="preserve">Product names and key terms stay consistent in every language.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hAnsi="Calibri" w:cs="Tahoma"/>
          <w:color w:val="1F2A24"/>
          <w:sz w:val="22"/>
          <w:szCs w:val="22"/>
        </w:rPr>
        <w:t xml:space="preserve">Every job keeps its own settings, so a finished file </w:t>
      </w:r>
      <w:r>
        <w:rPr>
          <w:rFonts w:ascii="Calibri" w:hAnsi="Calibri" w:cs="Tahoma"/>
          <w:i/>
          <w:color w:val="1F2A24"/>
          <w:sz w:val="22"/>
          <w:szCs w:val="22"/>
        </w:rPr>
        <w:t xml:space="preserve">never changes</w:t>
      </w:r>
      <w:r>
        <w:rPr>
          <w:rFonts w:ascii="Calibri" w:hAnsi="Calibri" w:cs="Tahoma"/>
          <w:color w:val="1F2A24"/>
          <w:sz w:val="22"/>
          <w:szCs w:val="22"/>
        </w:rPr>
        <w:t xml:space="preserve"> when you adjust the next batch.</w:t>
      </w:r>
    </w:p>
    <w:p>
      <w:pPr>
        <w:spacing w:after="160"/>
      </w:pPr>
      <w:r>
        <w:rPr>
          <w:rFonts w:ascii="Calibri" w:hAnsi="Calibri" w:cs="Tahoma"/>
          <w:color w:val="66736A"/>
          <w:sz w:val="20"/>
          <w:szCs w:val="20"/>
        </w:rPr>
        <w:t xml:space="preserve">Need help? Contact the team at any time.</w:t>
      </w:r>
    </w:p>
    <w:sectPr>
      <w:pgSz w:w="11906" w:h="16838"/>
      <w:pgMar w:top="1440" w:right="1440" w:bottom="1440" w:left="1440" w:header="708" w:footer="708" w:gutter="0"/>
    </w:sectPr>
  </w:body>
</w:document>
</file>