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us3vw3e9f55" w:id="0"/>
      <w:bookmarkEnd w:id="0"/>
      <w:r w:rsidDel="00000000" w:rsidR="00000000" w:rsidRPr="00000000">
        <w:rPr>
          <w:rtl w:val="0"/>
        </w:rPr>
        <w:t xml:space="preserve">The PolyModel Framework: A Systematic Process for AI-Driven Multi-Asset Portfolio Construction</w:t>
      </w:r>
    </w:p>
    <w:p w:rsidR="00000000" w:rsidDel="00000000" w:rsidP="00000000" w:rsidRDefault="00000000" w:rsidRPr="00000000" w14:paraId="00000002">
      <w:pPr>
        <w:pStyle w:val="Heading4"/>
        <w:rPr/>
      </w:pPr>
      <w:bookmarkStart w:colFirst="0" w:colLast="0" w:name="_4sas1feayn9g" w:id="1"/>
      <w:bookmarkEnd w:id="1"/>
      <w:r w:rsidDel="00000000" w:rsidR="00000000" w:rsidRPr="00000000">
        <w:rPr>
          <w:rtl w:val="0"/>
        </w:rPr>
        <w:t xml:space="preserve">1. Executive Overview: The Paradigm Shift in Multi-Asset Allocation</w:t>
      </w:r>
    </w:p>
    <w:p w:rsidR="00000000" w:rsidDel="00000000" w:rsidP="00000000" w:rsidRDefault="00000000" w:rsidRPr="00000000" w14:paraId="00000003">
      <w:pPr>
        <w:rPr/>
      </w:pPr>
      <w:r w:rsidDel="00000000" w:rsidR="00000000" w:rsidRPr="00000000">
        <w:rPr>
          <w:rtl w:val="0"/>
        </w:rPr>
        <w:t xml:space="preserve">The frontier of quantitative investment has moved beyond the constraints of linear factor models. Traditional frameworks, such as the Capital Asset Pricing Model (CAPM), fail to maintain structural integrity during regime shifts or within the "sparse data" environments typical of the hedge fund industry, where monthly reporting is the standard. To address these limitations, we propose the PolyModel framework—a non-linear, AI-fused architecture that transitions from rigid statistical assumptions to empirical  </w:t>
      </w:r>
      <w:r w:rsidDel="00000000" w:rsidR="00000000" w:rsidRPr="00000000">
        <w:rPr>
          <w:b w:val="1"/>
          <w:bCs w:val="1"/>
          <w:rtl w:val="0"/>
        </w:rPr>
        <w:t xml:space="preserve">Phenomenology</w:t>
      </w:r>
      <w:r w:rsidDel="00000000" w:rsidR="00000000" w:rsidRPr="00000000">
        <w:rPr>
          <w:rtl w:val="0"/>
        </w:rPr>
        <w:t xml:space="preserve"> .PolyModel theory operates on the principle that an asset is defined not by a static label, but by its reaction to a high-dimensional environment of risk factors. This is analogous to "Duck Typing" in computational logic: if an asset exhibits the tail-risk sensitivity of a commodity and the temporal dependencies of a macro fund, the model treats it accordingly. By observing these interactions across hundreds of scenarios, we characterize the asset’s nature with unprecedented granularity.</w:t>
      </w:r>
    </w:p>
    <w:p w:rsidR="00000000" w:rsidDel="00000000" w:rsidP="00000000" w:rsidRDefault="00000000" w:rsidRPr="00000000" w14:paraId="00000004">
      <w:pPr>
        <w:pStyle w:val="Heading5"/>
        <w:rPr/>
      </w:pPr>
      <w:bookmarkStart w:colFirst="0" w:colLast="0" w:name="_14r4fvg7wet2" w:id="2"/>
      <w:bookmarkEnd w:id="2"/>
      <w:r w:rsidDel="00000000" w:rsidR="00000000" w:rsidRPr="00000000">
        <w:rPr>
          <w:rtl w:val="0"/>
        </w:rPr>
        <w:t xml:space="preserve">Strategic Advantages</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Non-Linear Mapping:</w:t>
      </w:r>
      <w:r w:rsidDel="00000000" w:rsidR="00000000" w:rsidRPr="00000000">
        <w:rPr>
          <w:rtl w:val="0"/>
        </w:rPr>
        <w:t xml:space="preserve">  Captures convexity, concavity, and critical inflection points that linear models overlook.</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Robustness in Sparse Environments:</w:t>
      </w:r>
      <w:r w:rsidDel="00000000" w:rsidR="00000000" w:rsidRPr="00000000">
        <w:rPr>
          <w:rtl w:val="0"/>
        </w:rPr>
        <w:t xml:space="preserve">  Utilizing specific imputation strategies (e.g., Return = -30, Sharpe = -3) to maintain model stability despite missing data points.</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Orthogonal Dimensionality:</w:t>
      </w:r>
      <w:r w:rsidDel="00000000" w:rsidR="00000000" w:rsidRPr="00000000">
        <w:rPr>
          <w:rtl w:val="0"/>
        </w:rPr>
        <w:t xml:space="preserve">  Employs mathematical bases that reduce the risk of non-invertibility in high-dimensional latent spaces.</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Mitigation of Non-Stationarity:</w:t>
      </w:r>
      <w:r w:rsidDel="00000000" w:rsidR="00000000" w:rsidRPr="00000000">
        <w:rPr>
          <w:rtl w:val="0"/>
        </w:rPr>
        <w:t xml:space="preserve">  Dynamically adjusts to shifting market regimes via moving-window estimation and layer normalization in deep learning architectures.This phenomenology-based characterization serves as the bedrock for our first operational stage: the definition and purification of the data universe.</w:t>
      </w:r>
    </w:p>
    <w:p w:rsidR="00000000" w:rsidDel="00000000" w:rsidP="00000000" w:rsidRDefault="00000000" w:rsidRPr="00000000" w14:paraId="00000009">
      <w:pPr>
        <w:pStyle w:val="Heading4"/>
        <w:rPr/>
      </w:pPr>
      <w:bookmarkStart w:colFirst="0" w:colLast="0" w:name="_iuwqq5xqvmnj" w:id="3"/>
      <w:bookmarkEnd w:id="3"/>
      <w:r w:rsidDel="00000000" w:rsidR="00000000" w:rsidRPr="00000000">
        <w:rPr>
          <w:rtl w:val="0"/>
        </w:rPr>
        <w:t xml:space="preserve">2. Step 1: Defining the Data Universe (Targets vs. Risk Factors)</w:t>
      </w:r>
    </w:p>
    <w:p w:rsidR="00000000" w:rsidDel="00000000" w:rsidP="00000000" w:rsidRDefault="00000000" w:rsidRPr="00000000" w14:paraId="0000000A">
      <w:pPr>
        <w:rPr/>
      </w:pPr>
      <w:r w:rsidDel="00000000" w:rsidR="00000000" w:rsidRPr="00000000">
        <w:rPr>
          <w:rtl w:val="0"/>
        </w:rPr>
        <w:t xml:space="preserve">A systematic portfolio's alpha is fundamentally capped by the breadth and quality of its factor pool.  </w:t>
      </w:r>
      <w:r w:rsidDel="00000000" w:rsidR="00000000" w:rsidRPr="00000000">
        <w:rPr>
          <w:b w:val="1"/>
          <w:bCs w:val="1"/>
          <w:rtl w:val="0"/>
        </w:rPr>
        <w:t xml:space="preserve">Proxy Selection</w:t>
      </w:r>
      <w:r w:rsidDel="00000000" w:rsidR="00000000" w:rsidRPr="00000000">
        <w:rPr>
          <w:rtl w:val="0"/>
        </w:rPr>
        <w:t xml:space="preserve">  is not merely a data gathering exercise; it is the construction of a comprehensive financial environment that mirrors the complexities of the global macroeconomy.</w:t>
      </w:r>
    </w:p>
    <w:p w:rsidR="00000000" w:rsidDel="00000000" w:rsidP="00000000" w:rsidRDefault="00000000" w:rsidRPr="00000000" w14:paraId="0000000B">
      <w:pPr>
        <w:pStyle w:val="Heading5"/>
        <w:rPr/>
      </w:pPr>
      <w:bookmarkStart w:colFirst="0" w:colLast="0" w:name="_8k7hsfjpau2c" w:id="4"/>
      <w:bookmarkEnd w:id="4"/>
      <w:r w:rsidDel="00000000" w:rsidR="00000000" w:rsidRPr="00000000">
        <w:rPr>
          <w:rtl w:val="0"/>
        </w:rPr>
        <w:t xml:space="preserve">The Binary Data Architecture</w:t>
      </w:r>
    </w:p>
    <w:p w:rsidR="00000000" w:rsidDel="00000000" w:rsidP="00000000" w:rsidRDefault="00000000" w:rsidRPr="00000000" w14:paraId="0000000C">
      <w:pPr>
        <w:rPr/>
      </w:pPr>
      <w:r w:rsidDel="00000000" w:rsidR="00000000" w:rsidRPr="00000000">
        <w:rPr>
          <w:rtl w:val="0"/>
        </w:rPr>
        <w:t xml:space="preserve">Target Assets ( $Y_i$ ),Risk Factor Pool ( $X_j$ )</w:t>
      </w:r>
    </w:p>
    <w:p w:rsidR="00000000" w:rsidDel="00000000" w:rsidP="00000000" w:rsidRDefault="00000000" w:rsidRPr="00000000" w14:paraId="0000000D">
      <w:pPr>
        <w:rPr/>
      </w:pPr>
      <w:r w:rsidDel="00000000" w:rsidR="00000000" w:rsidRPr="00000000">
        <w:rPr>
          <w:rtl w:val="0"/>
        </w:rPr>
        <w:t xml:space="preserve">"Hedge Fund Universe:  A pool of 10,000+ diversified assets including Fixed Income, Event-Driven, Multi-Strategy, and Long-Short Equity.","Global Environmental Proxies:  An extensive array including Equities (EQMAIN NAMM), Bonds (U.S. Treasury LUATTRUU), Commodities (Heating Oil BCOMHO, Orange Juice BCOMOJ), and Currencies (Japanese Yen USDJPY BGN)."</w:t>
      </w:r>
    </w:p>
    <w:p w:rsidR="00000000" w:rsidDel="00000000" w:rsidP="00000000" w:rsidRDefault="00000000" w:rsidRPr="00000000" w14:paraId="0000000E">
      <w:pPr>
        <w:rPr/>
      </w:pPr>
      <w:r w:rsidDel="00000000" w:rsidR="00000000" w:rsidRPr="00000000">
        <w:rPr>
          <w:rtl w:val="0"/>
        </w:rPr>
        <w:t xml:space="preserve">Objective:  The investment universe of  $Y_i$  candidates for portfolio inclusion.,"Objective:  Independent variables ( $X_j$ ) used to ""stress test"" and dynamically encode the target assets."</w:t>
      </w:r>
    </w:p>
    <w:p w:rsidR="00000000" w:rsidDel="00000000" w:rsidP="00000000" w:rsidRDefault="00000000" w:rsidRPr="00000000" w14:paraId="0000000F">
      <w:pPr>
        <w:pStyle w:val="Heading5"/>
        <w:rPr/>
      </w:pPr>
      <w:bookmarkStart w:colFirst="0" w:colLast="0" w:name="_q82fdqmamwcz" w:id="5"/>
      <w:bookmarkEnd w:id="5"/>
      <w:r w:rsidDel="00000000" w:rsidR="00000000" w:rsidRPr="00000000">
        <w:rPr>
          <w:rtl w:val="0"/>
        </w:rPr>
        <w:t xml:space="preserve">Robustness in Sparse Data</w:t>
      </w:r>
    </w:p>
    <w:p w:rsidR="00000000" w:rsidDel="00000000" w:rsidP="00000000" w:rsidRDefault="00000000" w:rsidRPr="00000000" w14:paraId="00000010">
      <w:pPr>
        <w:rPr/>
      </w:pPr>
      <w:r w:rsidDel="00000000" w:rsidR="00000000" w:rsidRPr="00000000">
        <w:rPr>
          <w:rtl w:val="0"/>
        </w:rPr>
        <w:t xml:space="preserve">Hedge fund data is notoriously sparse due to a lack of mandatory reporting. To ensure the framework's reliability, we implement a rigorous imputation strategy for missing values:</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Returns:</w:t>
      </w:r>
      <w:r w:rsidDel="00000000" w:rsidR="00000000" w:rsidRPr="00000000">
        <w:rPr>
          <w:rtl w:val="0"/>
        </w:rPr>
        <w:t xml:space="preserve">  -30</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Sharpe Ratio:</w:t>
      </w:r>
      <w:r w:rsidDel="00000000" w:rsidR="00000000" w:rsidRPr="00000000">
        <w:rPr>
          <w:rtl w:val="0"/>
        </w:rPr>
        <w:t xml:space="preserve">  -3</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Long-Term Stability (LTS):</w:t>
      </w:r>
      <w:r w:rsidDel="00000000" w:rsidR="00000000" w:rsidRPr="00000000">
        <w:rPr>
          <w:rtl w:val="0"/>
        </w:rPr>
        <w:t xml:space="preserve">  -1</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Morningstar Risk-Adjusted Return (MRaR):</w:t>
      </w:r>
      <w:r w:rsidDel="00000000" w:rsidR="00000000" w:rsidRPr="00000000">
        <w:rPr>
          <w:rtl w:val="0"/>
        </w:rPr>
        <w:t xml:space="preserve">  -3By including risk factors with long longitudinal histories, we capture rare historical scenarios and "Black Swan" events, ensuring the model's predictive power remains intact even for assets with limited track records.</w:t>
      </w:r>
    </w:p>
    <w:p w:rsidR="00000000" w:rsidDel="00000000" w:rsidP="00000000" w:rsidRDefault="00000000" w:rsidRPr="00000000" w14:paraId="00000015">
      <w:pPr>
        <w:pStyle w:val="Heading4"/>
        <w:rPr/>
      </w:pPr>
      <w:bookmarkStart w:colFirst="0" w:colLast="0" w:name="_fhio4m5r9f1r" w:id="6"/>
      <w:bookmarkEnd w:id="6"/>
      <w:r w:rsidDel="00000000" w:rsidR="00000000" w:rsidRPr="00000000">
        <w:rPr>
          <w:rtl w:val="0"/>
        </w:rPr>
        <w:t xml:space="preserve">3. Step 2: PolyModel Estimation and Dynamic Encoding</w:t>
      </w:r>
    </w:p>
    <w:p w:rsidR="00000000" w:rsidDel="00000000" w:rsidP="00000000" w:rsidRDefault="00000000" w:rsidRPr="00000000" w14:paraId="00000016">
      <w:pPr>
        <w:rPr/>
      </w:pPr>
      <w:r w:rsidDel="00000000" w:rsidR="00000000" w:rsidRPr="00000000">
        <w:rPr>
          <w:rtl w:val="0"/>
        </w:rPr>
        <w:t xml:space="preserve">To map the non-linear relationship between each target asset and the risk factor pool, we move beyond simple OLS to a more flexible polynomial framework.</w:t>
      </w:r>
    </w:p>
    <w:p w:rsidR="00000000" w:rsidDel="00000000" w:rsidP="00000000" w:rsidRDefault="00000000" w:rsidRPr="00000000" w14:paraId="00000017">
      <w:pPr>
        <w:pStyle w:val="Heading5"/>
        <w:rPr/>
      </w:pPr>
      <w:bookmarkStart w:colFirst="0" w:colLast="0" w:name="_vq1y3g7ti26n" w:id="7"/>
      <w:bookmarkEnd w:id="7"/>
      <w:r w:rsidDel="00000000" w:rsidR="00000000" w:rsidRPr="00000000">
        <w:rPr>
          <w:rtl w:val="0"/>
        </w:rPr>
        <w:t xml:space="preserve">The Hermitian Polynomial Approach (Degree 4)</w:t>
      </w:r>
    </w:p>
    <w:p w:rsidR="00000000" w:rsidDel="00000000" w:rsidP="00000000" w:rsidRDefault="00000000" w:rsidRPr="00000000" w14:paraId="00000018">
      <w:pPr>
        <w:rPr/>
      </w:pPr>
      <w:r w:rsidDel="00000000" w:rsidR="00000000" w:rsidRPr="00000000">
        <w:rPr>
          <w:rtl w:val="0"/>
        </w:rPr>
        <w:t xml:space="preserve">The framework utilizes a  </w:t>
      </w:r>
      <w:r w:rsidDel="00000000" w:rsidR="00000000" w:rsidRPr="00000000">
        <w:rPr>
          <w:b w:val="1"/>
          <w:bCs w:val="1"/>
          <w:rtl w:val="0"/>
        </w:rPr>
        <w:t xml:space="preserve">Hermitian Polynomial of Degree 4</w:t>
      </w:r>
      <w:r w:rsidDel="00000000" w:rsidR="00000000" w:rsidRPr="00000000">
        <w:rPr>
          <w:rtl w:val="0"/>
        </w:rPr>
        <w:t xml:space="preserve">  to fit the relationship:  $$\Phi_{ij}(x) = \sum_{k=0}^{4} \beta_{k,ij} H_k(x)$$  Degree 4 represents the mathematical "sweet spot": it provides sufficient flexibility to capture convex/concave curves and inflection points while preventing the catastrophic overfitting associated with Degree 5+ models. Crucially, Hermitian polynomials form an  </w:t>
      </w:r>
      <w:r w:rsidDel="00000000" w:rsidR="00000000" w:rsidRPr="00000000">
        <w:rPr>
          <w:b w:val="1"/>
          <w:bCs w:val="1"/>
          <w:rtl w:val="0"/>
        </w:rPr>
        <w:t xml:space="preserve">orthogonal basis with respect to the standard normal density function</w:t>
      </w:r>
      <w:r w:rsidDel="00000000" w:rsidR="00000000" w:rsidRPr="00000000">
        <w:rPr>
          <w:rtl w:val="0"/>
        </w:rPr>
        <w:t xml:space="preserve"> . Because log-returns of risk factors are approximately normal, this property significantly reduces the probability of non-invertibility during matrix calculations.</w:t>
      </w:r>
    </w:p>
    <w:p w:rsidR="00000000" w:rsidDel="00000000" w:rsidP="00000000" w:rsidRDefault="00000000" w:rsidRPr="00000000" w14:paraId="00000019">
      <w:pPr>
        <w:pStyle w:val="Heading5"/>
        <w:rPr/>
      </w:pPr>
      <w:bookmarkStart w:colFirst="0" w:colLast="0" w:name="_6wp1sngf1jjo" w:id="8"/>
      <w:bookmarkEnd w:id="8"/>
      <w:r w:rsidDel="00000000" w:rsidR="00000000" w:rsidRPr="00000000">
        <w:rPr>
          <w:rtl w:val="0"/>
        </w:rPr>
        <w:t xml:space="preserve">Technical Note: Ridge Regression ( $\lambda$ )</w:t>
      </w:r>
    </w:p>
    <w:p w:rsidR="00000000" w:rsidDel="00000000" w:rsidP="00000000" w:rsidRDefault="00000000" w:rsidRPr="00000000" w14:paraId="0000001A">
      <w:pPr>
        <w:rPr/>
      </w:pPr>
      <w:r w:rsidDel="00000000" w:rsidR="00000000" w:rsidRPr="00000000">
        <w:rPr>
          <w:rtl w:val="0"/>
        </w:rPr>
        <w:t xml:space="preserve">To ensure mathematical stability and coefficient shrinkage, we solve for  $\hat{\beta}$  using Ridge Regression:  $$\hat{\beta}</w:t>
      </w:r>
      <w:r w:rsidDel="00000000" w:rsidR="00000000" w:rsidRPr="00000000">
        <w:rPr>
          <w:i w:val="1"/>
          <w:iCs w:val="1"/>
          <w:rtl w:val="0"/>
        </w:rPr>
        <w:t xml:space="preserve">{ij,\lambda} = (H_j H_j^T + \lambda I</w:t>
      </w:r>
      <w:r w:rsidDel="00000000" w:rsidR="00000000" w:rsidRPr="00000000">
        <w:rPr>
          <w:rtl w:val="0"/>
        </w:rPr>
        <w:t xml:space="preserve">{5 \times 5})^{-1} H_j \vec{Y_i}$$  The introduction of the regularity term  $\lambda$  handles matrix invertibility issues in high-dimensional data and guards against sensitivity to outliers.</w:t>
      </w:r>
    </w:p>
    <w:p w:rsidR="00000000" w:rsidDel="00000000" w:rsidP="00000000" w:rsidRDefault="00000000" w:rsidRPr="00000000" w14:paraId="0000001B">
      <w:pPr>
        <w:pStyle w:val="Heading5"/>
        <w:rPr/>
      </w:pPr>
      <w:bookmarkStart w:colFirst="0" w:colLast="0" w:name="_3d5is87zmsb7" w:id="9"/>
      <w:bookmarkEnd w:id="9"/>
      <w:r w:rsidDel="00000000" w:rsidR="00000000" w:rsidRPr="00000000">
        <w:rPr>
          <w:rtl w:val="0"/>
        </w:rPr>
        <w:t xml:space="preserve">Causal Integrity: Target Shuffling</w:t>
      </w:r>
    </w:p>
    <w:p w:rsidR="00000000" w:rsidDel="00000000" w:rsidP="00000000" w:rsidRDefault="00000000" w:rsidRPr="00000000" w14:paraId="0000001C">
      <w:pPr>
        <w:rPr/>
      </w:pPr>
      <w:r w:rsidDel="00000000" w:rsidR="00000000" w:rsidRPr="00000000">
        <w:rPr>
          <w:rtl w:val="0"/>
        </w:rPr>
        <w:t xml:space="preserve">To distinguish between true cause-and-effect and "fake strong relationships" (statistical noise), we apply a  </w:t>
      </w:r>
      <w:r w:rsidDel="00000000" w:rsidR="00000000" w:rsidRPr="00000000">
        <w:rPr>
          <w:b w:val="1"/>
          <w:bCs w:val="1"/>
          <w:rtl w:val="0"/>
        </w:rPr>
        <w:t xml:space="preserve">Target Shuffling</w:t>
      </w:r>
      <w:r w:rsidDel="00000000" w:rsidR="00000000" w:rsidRPr="00000000">
        <w:rPr>
          <w:rtl w:val="0"/>
        </w:rPr>
        <w:t xml:space="preserve">  procedure. By randomly shuffling target observations  $N$  times while keeping factors constant, we generate a null population of  $R^2$  values. The  $P$ -Value Score ( $-\log(p_{ij})$ ) quantifies the significance of the original relationship. Only factors with high significance are retained for feature extraction.</w:t>
      </w:r>
    </w:p>
    <w:p w:rsidR="00000000" w:rsidDel="00000000" w:rsidP="00000000" w:rsidRDefault="00000000" w:rsidRPr="00000000" w14:paraId="0000001D">
      <w:pPr>
        <w:pStyle w:val="Heading4"/>
        <w:rPr/>
      </w:pPr>
      <w:bookmarkStart w:colFirst="0" w:colLast="0" w:name="_nhb6fovz87ve" w:id="10"/>
      <w:bookmarkEnd w:id="10"/>
      <w:r w:rsidDel="00000000" w:rsidR="00000000" w:rsidRPr="00000000">
        <w:rPr>
          <w:rtl w:val="0"/>
        </w:rPr>
        <w:t xml:space="preserve">4. Step 3: Extracting High-Value Feature Metrics</w:t>
      </w:r>
    </w:p>
    <w:p w:rsidR="00000000" w:rsidDel="00000000" w:rsidP="00000000" w:rsidRDefault="00000000" w:rsidRPr="00000000" w14:paraId="0000001E">
      <w:pPr>
        <w:rPr/>
      </w:pPr>
      <w:r w:rsidDel="00000000" w:rsidR="00000000" w:rsidRPr="00000000">
        <w:rPr>
          <w:rtl w:val="0"/>
        </w:rPr>
        <w:t xml:space="preserve">The PolyModel output is distilled into "look-ahead" features that encapsulate an asset’s DNA relative to the global environment.</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Morningstar Risk-Adjusted Return (MRaR):</w:t>
      </w:r>
      <w:r w:rsidDel="00000000" w:rsidR="00000000" w:rsidRPr="00000000">
        <w:rPr>
          <w:rtl w:val="0"/>
        </w:rPr>
        <w:t xml:space="preserve">  Quantifies the return an investor would accept for a certain outcome, penalizing variability.  $$MRaR = \left( \frac{1}{T} \sum_{t=1}^{T} (1 + rG_t)^{-\gamma} \right)^{-\frac{12}{\gamma}} - 1$$  Using a risk aversion parameter of  $\gamma = 2$  as the baseline.</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StressVaR (SVaR):</w:t>
      </w:r>
      <w:r w:rsidDel="00000000" w:rsidR="00000000" w:rsidRPr="00000000">
        <w:rPr>
          <w:rtl w:val="0"/>
        </w:rPr>
        <w:t xml:space="preserve">  A factor-driven risk metric that captures non-linear tail risks at the 98th percentile ( $\alpha = 0.98, \xi \approx 2.33$ ):  $$SVaR_{i,j} = \sqrt{\hat{Y}^2_{i,j,max} + \sigma(Y_i)^2 \cdot (1-R^2) \cdot \xi^2}$$  The term  $\sigma(Y_i)^2 \cdot (1-R^2)$  is critical, as it accounts for the unexplained variance—the risk the factor model cannot capture.</w:t>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Long-Term Alpha (LTA):</w:t>
      </w:r>
      <w:r w:rsidDel="00000000" w:rsidR="00000000" w:rsidRPr="00000000">
        <w:rPr>
          <w:rtl w:val="0"/>
        </w:rPr>
        <w:t xml:space="preserve">  The expected return calculated as the median of factor expectations ( $50^{th}$  quantile) across multiple long-term scenarios.</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Long-Term Stability (LTS):</w:t>
      </w:r>
      <w:r w:rsidDel="00000000" w:rsidR="00000000" w:rsidRPr="00000000">
        <w:rPr>
          <w:rtl w:val="0"/>
        </w:rPr>
        <w:t xml:space="preserve">  The primary volatility controller, defined as:  $$LTS_i = LTA_i - \kappa \cdot SVaR_i$$  We set the hyper-parameter  $\kappa = 5\%$ . LTS effectively identifies assets offering sustainable, risk-balanced performance.</w:t>
      </w:r>
    </w:p>
    <w:p w:rsidR="00000000" w:rsidDel="00000000" w:rsidP="00000000" w:rsidRDefault="00000000" w:rsidRPr="00000000" w14:paraId="00000023">
      <w:pPr>
        <w:pStyle w:val="Heading4"/>
        <w:rPr/>
      </w:pPr>
      <w:bookmarkStart w:colFirst="0" w:colLast="0" w:name="_wp5m2stgvwja" w:id="11"/>
      <w:bookmarkEnd w:id="11"/>
      <w:r w:rsidDel="00000000" w:rsidR="00000000" w:rsidRPr="00000000">
        <w:rPr>
          <w:rtl w:val="0"/>
        </w:rPr>
        <w:t xml:space="preserve">5. Step 4: Machine Learning Integration (XGBoost &amp; iTransformer)</w:t>
      </w:r>
    </w:p>
    <w:p w:rsidR="00000000" w:rsidDel="00000000" w:rsidP="00000000" w:rsidRDefault="00000000" w:rsidRPr="00000000" w14:paraId="00000024">
      <w:pPr>
        <w:rPr/>
      </w:pPr>
      <w:r w:rsidDel="00000000" w:rsidR="00000000" w:rsidRPr="00000000">
        <w:rPr>
          <w:rtl w:val="0"/>
        </w:rPr>
        <w:t xml:space="preserve">Predicting exact return values in volatile markets is often a fool's errand. Strategically, we prioritize predicting the  </w:t>
      </w:r>
      <w:r w:rsidDel="00000000" w:rsidR="00000000" w:rsidRPr="00000000">
        <w:rPr>
          <w:b w:val="1"/>
          <w:bCs w:val="1"/>
          <w:rtl w:val="0"/>
        </w:rPr>
        <w:t xml:space="preserve">Trend</w:t>
      </w:r>
      <w:r w:rsidDel="00000000" w:rsidR="00000000" w:rsidRPr="00000000">
        <w:rPr>
          <w:rtl w:val="0"/>
        </w:rPr>
        <w:t xml:space="preserve">  (Up vs. Down). A "sign error" (predicting positive when it is negative) is far more damaging to PnL than a "magnitude error."</w:t>
      </w:r>
    </w:p>
    <w:p w:rsidR="00000000" w:rsidDel="00000000" w:rsidP="00000000" w:rsidRDefault="00000000" w:rsidRPr="00000000" w14:paraId="00000025">
      <w:pPr>
        <w:pStyle w:val="Heading5"/>
        <w:rPr/>
      </w:pPr>
      <w:bookmarkStart w:colFirst="0" w:colLast="0" w:name="_k6b2eaxf0i5n" w:id="12"/>
      <w:bookmarkEnd w:id="12"/>
      <w:r w:rsidDel="00000000" w:rsidR="00000000" w:rsidRPr="00000000">
        <w:rPr>
          <w:rtl w:val="0"/>
        </w:rPr>
        <w:t xml:space="preserve">Modeling Architectures</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XGBoost:</w:t>
      </w:r>
      <w:r w:rsidDel="00000000" w:rsidR="00000000" w:rsidRPr="00000000">
        <w:rPr>
          <w:rtl w:val="0"/>
        </w:rPr>
        <w:t xml:space="preserve">  Trained on a 2-year moving window, this gradient boosting algorithm outputs a probability  $p_i$  that the next month’s return will be positive.</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iTransformer (Inverted Transformer):</w:t>
      </w:r>
      <w:r w:rsidDel="00000000" w:rsidR="00000000" w:rsidRPr="00000000">
        <w:rPr>
          <w:rtl w:val="0"/>
        </w:rPr>
        <w:t xml:space="preserve">  Traditional Transformers use temporal tokens (all features at one timestamp). The iTransformer adopts an  </w:t>
      </w:r>
      <w:r w:rsidDel="00000000" w:rsidR="00000000" w:rsidRPr="00000000">
        <w:rPr>
          <w:b w:val="1"/>
          <w:bCs w:val="1"/>
          <w:rtl w:val="0"/>
        </w:rPr>
        <w:t xml:space="preserve">Inverted Perspective</w:t>
      </w:r>
      <w:r w:rsidDel="00000000" w:rsidR="00000000" w:rsidRPr="00000000">
        <w:rPr>
          <w:rtl w:val="0"/>
        </w:rPr>
        <w:t xml:space="preserve"> , tokenizing the entire time series of a single feature. This allows the model to learn complex temporal dependencies and feature correlations through its Multi-Layer Perceptron (MLP) and Layer Normalization (LN), which are specifically effective against non-stationary time series.The result is a Probability Score ( $p_i$ ), identifying the most promising funds while filtering out those likely to suffer from regime-driven reversals.</w:t>
      </w:r>
    </w:p>
    <w:p w:rsidR="00000000" w:rsidDel="00000000" w:rsidP="00000000" w:rsidRDefault="00000000" w:rsidRPr="00000000" w14:paraId="00000028">
      <w:pPr>
        <w:pStyle w:val="Heading4"/>
        <w:rPr/>
      </w:pPr>
      <w:bookmarkStart w:colFirst="0" w:colLast="0" w:name="_f387obsynxyo" w:id="13"/>
      <w:bookmarkEnd w:id="13"/>
      <w:r w:rsidDel="00000000" w:rsidR="00000000" w:rsidRPr="00000000">
        <w:rPr>
          <w:rtl w:val="0"/>
        </w:rPr>
        <w:t xml:space="preserve">6. Step 5: Portfolio Construction, Selection, and Rebalancing</w:t>
      </w:r>
    </w:p>
    <w:p w:rsidR="00000000" w:rsidDel="00000000" w:rsidP="00000000" w:rsidRDefault="00000000" w:rsidRPr="00000000" w14:paraId="00000029">
      <w:pPr>
        <w:rPr/>
      </w:pPr>
      <w:r w:rsidDel="00000000" w:rsidR="00000000" w:rsidRPr="00000000">
        <w:rPr>
          <w:rtl w:val="0"/>
        </w:rPr>
        <w:t xml:space="preserve">The transition from predictive scores to an institutional-grade portfolio requires a disciplined selection filter.</w:t>
      </w:r>
    </w:p>
    <w:p w:rsidR="00000000" w:rsidDel="00000000" w:rsidP="00000000" w:rsidRDefault="00000000" w:rsidRPr="00000000" w14:paraId="0000002A">
      <w:pPr>
        <w:pStyle w:val="Heading5"/>
        <w:rPr/>
      </w:pPr>
      <w:bookmarkStart w:colFirst="0" w:colLast="0" w:name="_a6658kewccbb" w:id="14"/>
      <w:bookmarkEnd w:id="14"/>
      <w:r w:rsidDel="00000000" w:rsidR="00000000" w:rsidRPr="00000000">
        <w:rPr>
          <w:rtl w:val="0"/>
        </w:rPr>
        <w:t xml:space="preserve">Selection Filter Hierarchy</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Probability Threshold:</w:t>
      </w:r>
      <w:r w:rsidDel="00000000" w:rsidR="00000000" w:rsidRPr="00000000">
        <w:rPr>
          <w:rtl w:val="0"/>
        </w:rPr>
        <w:t xml:space="preserve">  Select the top 50% of assets based on  $p_i$ .</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Quality Filtering:</w:t>
      </w:r>
      <w:r w:rsidDel="00000000" w:rsidR="00000000" w:rsidRPr="00000000">
        <w:rPr>
          <w:rtl w:val="0"/>
        </w:rPr>
        <w:t xml:space="preserve">  Assets must exceed specific thresholds for LTS, MRaR, and Sharpe Ratio.</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Rebalancing Rule:</w:t>
      </w:r>
      <w:r w:rsidDel="00000000" w:rsidR="00000000" w:rsidRPr="00000000">
        <w:rPr>
          <w:rtl w:val="0"/>
        </w:rPr>
        <w:t xml:space="preserve">  Monthly rebalancing follows a "Sell-and-Reinvest" mandate. Non-qualifiers are liquidated, and proceeds are redistributed.</w:t>
      </w:r>
    </w:p>
    <w:p w:rsidR="00000000" w:rsidDel="00000000" w:rsidP="00000000" w:rsidRDefault="00000000" w:rsidRPr="00000000" w14:paraId="0000002E">
      <w:pPr>
        <w:pStyle w:val="Heading5"/>
        <w:rPr/>
      </w:pPr>
      <w:bookmarkStart w:colFirst="0" w:colLast="0" w:name="_o5agi9aes7k4" w:id="15"/>
      <w:bookmarkEnd w:id="15"/>
      <w:r w:rsidDel="00000000" w:rsidR="00000000" w:rsidRPr="00000000">
        <w:rPr>
          <w:rtl w:val="0"/>
        </w:rPr>
        <w:t xml:space="preserve">The Power of Simple Average (SA)</w:t>
      </w:r>
    </w:p>
    <w:p w:rsidR="00000000" w:rsidDel="00000000" w:rsidP="00000000" w:rsidRDefault="00000000" w:rsidRPr="00000000" w14:paraId="0000002F">
      <w:pPr>
        <w:rPr/>
      </w:pPr>
      <w:r w:rsidDel="00000000" w:rsidR="00000000" w:rsidRPr="00000000">
        <w:rPr>
          <w:rtl w:val="0"/>
        </w:rPr>
        <w:t xml:space="preserve">Our empirical analysis contrasts  </w:t>
      </w:r>
      <w:r w:rsidDel="00000000" w:rsidR="00000000" w:rsidRPr="00000000">
        <w:rPr>
          <w:b w:val="1"/>
          <w:bCs w:val="1"/>
          <w:rtl w:val="0"/>
        </w:rPr>
        <w:t xml:space="preserve">Simple Average (SA)</w:t>
      </w:r>
      <w:r w:rsidDel="00000000" w:rsidR="00000000" w:rsidRPr="00000000">
        <w:rPr>
          <w:rtl w:val="0"/>
        </w:rPr>
        <w:t xml:space="preserve">  against  </w:t>
      </w:r>
      <w:r w:rsidDel="00000000" w:rsidR="00000000" w:rsidRPr="00000000">
        <w:rPr>
          <w:b w:val="1"/>
          <w:bCs w:val="1"/>
          <w:rtl w:val="0"/>
        </w:rPr>
        <w:t xml:space="preserve">Weighted Average (WA)</w:t>
      </w:r>
      <w:r w:rsidDel="00000000" w:rsidR="00000000" w:rsidRPr="00000000">
        <w:rPr>
          <w:rtl w:val="0"/>
        </w:rPr>
        <w:t xml:space="preserve">  allocations (based on AUM). The data consistently identifies the SA strategy as the  </w:t>
      </w:r>
      <w:r w:rsidDel="00000000" w:rsidR="00000000" w:rsidRPr="00000000">
        <w:rPr>
          <w:b w:val="1"/>
          <w:bCs w:val="1"/>
          <w:rtl w:val="0"/>
        </w:rPr>
        <w:t xml:space="preserve">Best Performer</w:t>
      </w:r>
      <w:r w:rsidDel="00000000" w:rsidR="00000000" w:rsidRPr="00000000">
        <w:rPr>
          <w:rtl w:val="0"/>
        </w:rPr>
        <w:t xml:space="preserve"> . While WA is industry-standard, it often over-concentrates in larger, less nimble funds, whereas SA provides the diversification necessary to capture the alpha pinpointed by the PolyModel-ML fusion.</w:t>
      </w:r>
    </w:p>
    <w:p w:rsidR="00000000" w:rsidDel="00000000" w:rsidP="00000000" w:rsidRDefault="00000000" w:rsidRPr="00000000" w14:paraId="00000030">
      <w:pPr>
        <w:pStyle w:val="Heading4"/>
        <w:rPr/>
      </w:pPr>
      <w:bookmarkStart w:colFirst="0" w:colLast="0" w:name="_t2o7vtfy4wuh" w:id="16"/>
      <w:bookmarkEnd w:id="16"/>
      <w:r w:rsidDel="00000000" w:rsidR="00000000" w:rsidRPr="00000000">
        <w:rPr>
          <w:rtl w:val="0"/>
        </w:rPr>
        <w:t xml:space="preserve">7. Strategic Conclusions: Debunking Market Myths</w:t>
      </w:r>
    </w:p>
    <w:p w:rsidR="00000000" w:rsidDel="00000000" w:rsidP="00000000" w:rsidRDefault="00000000" w:rsidRPr="00000000" w14:paraId="00000031">
      <w:pPr>
        <w:rPr/>
      </w:pPr>
      <w:r w:rsidDel="00000000" w:rsidR="00000000" w:rsidRPr="00000000">
        <w:rPr>
          <w:rtl w:val="0"/>
        </w:rPr>
        <w:t xml:space="preserve">This systematic approach reveals fundamental truths that contradict traditional market lore.</w:t>
      </w:r>
    </w:p>
    <w:p w:rsidR="00000000" w:rsidDel="00000000" w:rsidP="00000000" w:rsidRDefault="00000000" w:rsidRPr="00000000" w14:paraId="00000032">
      <w:pPr>
        <w:pStyle w:val="Heading5"/>
        <w:rPr/>
      </w:pPr>
      <w:bookmarkStart w:colFirst="0" w:colLast="0" w:name="_42wz44qalope" w:id="17"/>
      <w:bookmarkEnd w:id="17"/>
      <w:r w:rsidDel="00000000" w:rsidR="00000000" w:rsidRPr="00000000">
        <w:rPr>
          <w:rtl w:val="0"/>
        </w:rPr>
        <w:t xml:space="preserve">The AUM Reliability Myth</w:t>
      </w:r>
    </w:p>
    <w:p w:rsidR="00000000" w:rsidDel="00000000" w:rsidP="00000000" w:rsidRDefault="00000000" w:rsidRPr="00000000" w14:paraId="00000033">
      <w:pPr>
        <w:rPr/>
      </w:pPr>
      <w:r w:rsidDel="00000000" w:rsidR="00000000" w:rsidRPr="00000000">
        <w:rPr>
          <w:rtl w:val="0"/>
        </w:rPr>
        <w:t xml:space="preserve">Data-driven evidence debunks the assumption that larger funds (by Assets Under Management) are inherently more reliable. In fact, allocating based on AUM often  </w:t>
      </w:r>
      <w:r w:rsidDel="00000000" w:rsidR="00000000" w:rsidRPr="00000000">
        <w:rPr>
          <w:b w:val="1"/>
          <w:bCs w:val="1"/>
          <w:rtl w:val="0"/>
        </w:rPr>
        <w:t xml:space="preserve">dilutes performance</w:t>
      </w:r>
      <w:r w:rsidDel="00000000" w:rsidR="00000000" w:rsidRPr="00000000">
        <w:rPr>
          <w:rtl w:val="0"/>
        </w:rPr>
        <w:t xml:space="preserve"> . Smaller funds frequently prove to be more "nimble," adapting more effectively to the non-linear signals captured by the PolyModel.</w:t>
      </w:r>
    </w:p>
    <w:p w:rsidR="00000000" w:rsidDel="00000000" w:rsidP="00000000" w:rsidRDefault="00000000" w:rsidRPr="00000000" w14:paraId="00000034">
      <w:pPr>
        <w:pStyle w:val="Heading5"/>
        <w:rPr/>
      </w:pPr>
      <w:bookmarkStart w:colFirst="0" w:colLast="0" w:name="_8y6uinacufk0" w:id="18"/>
      <w:bookmarkEnd w:id="18"/>
      <w:r w:rsidDel="00000000" w:rsidR="00000000" w:rsidRPr="00000000">
        <w:rPr>
          <w:rtl w:val="0"/>
        </w:rPr>
        <w:t xml:space="preserve">The Machine Learning Trade-off</w:t>
      </w:r>
    </w:p>
    <w:p w:rsidR="00000000" w:rsidDel="00000000" w:rsidP="00000000" w:rsidRDefault="00000000" w:rsidRPr="00000000" w14:paraId="00000035">
      <w:pPr>
        <w:rPr/>
      </w:pPr>
      <w:r w:rsidDel="00000000" w:rsidR="00000000" w:rsidRPr="00000000">
        <w:rPr>
          <w:rtl w:val="0"/>
        </w:rPr>
        <w:t xml:space="preserve">The integration of ML architectures like iTransformer significantly elevates cumulative returns. However, investors must accept a trade-off: increased returns come with higher annual volatility. While the XGBoost-driven "Best Performer" yielded a cumulative return of  </w:t>
      </w:r>
      <w:r w:rsidDel="00000000" w:rsidR="00000000" w:rsidRPr="00000000">
        <w:rPr>
          <w:b w:val="1"/>
          <w:bCs w:val="1"/>
          <w:rtl w:val="0"/>
        </w:rPr>
        <w:t xml:space="preserve">41.81</w:t>
      </w:r>
      <w:r w:rsidDel="00000000" w:rsidR="00000000" w:rsidRPr="00000000">
        <w:rPr>
          <w:rtl w:val="0"/>
        </w:rPr>
        <w:t xml:space="preserve"> , the more advanced iTransformer-enhanced SA strategy reached cumulative returns  </w:t>
      </w:r>
      <w:r w:rsidDel="00000000" w:rsidR="00000000" w:rsidRPr="00000000">
        <w:rPr>
          <w:b w:val="1"/>
          <w:bCs w:val="1"/>
          <w:rtl w:val="0"/>
        </w:rPr>
        <w:t xml:space="preserve">above 80</w:t>
      </w:r>
      <w:r w:rsidDel="00000000" w:rsidR="00000000" w:rsidRPr="00000000">
        <w:rPr>
          <w:rtl w:val="0"/>
        </w:rPr>
        <w:t xml:space="preserve"> .</w:t>
      </w:r>
    </w:p>
    <w:p w:rsidR="00000000" w:rsidDel="00000000" w:rsidP="00000000" w:rsidRDefault="00000000" w:rsidRPr="00000000" w14:paraId="00000036">
      <w:pPr>
        <w:pStyle w:val="Heading5"/>
        <w:rPr/>
      </w:pPr>
      <w:bookmarkStart w:colFirst="0" w:colLast="0" w:name="_d8mwetyfrmd" w:id="19"/>
      <w:bookmarkEnd w:id="19"/>
      <w:r w:rsidDel="00000000" w:rsidR="00000000" w:rsidRPr="00000000">
        <w:rPr>
          <w:rtl w:val="0"/>
        </w:rPr>
        <w:t xml:space="preserve">Tactical Mandate: The Golden Rule</w:t>
      </w:r>
    </w:p>
    <w:p w:rsidR="00000000" w:rsidDel="00000000" w:rsidP="00000000" w:rsidRDefault="00000000" w:rsidRPr="00000000" w14:paraId="00000037">
      <w:pPr>
        <w:rPr/>
      </w:pPr>
      <w:r w:rsidDel="00000000" w:rsidR="00000000" w:rsidRPr="00000000">
        <w:rPr>
          <w:rtl w:val="0"/>
        </w:rPr>
        <w:t xml:space="preserve">For optimal risk-adjusted performance, the institutional mandate is clear:  </w:t>
      </w:r>
      <w:r w:rsidDel="00000000" w:rsidR="00000000" w:rsidRPr="00000000">
        <w:rPr>
          <w:b w:val="1"/>
          <w:bCs w:val="1"/>
          <w:rtl w:val="0"/>
        </w:rPr>
        <w:t xml:space="preserve">High-LTS Filtering + ML-Trend Selection + Equal Weighting (SA).</w:t>
      </w:r>
      <w:r w:rsidDel="00000000" w:rsidR="00000000" w:rsidRPr="00000000">
        <w:rPr>
          <w:rtl w:val="0"/>
        </w:rPr>
        <w:t xml:space="preserve">  This synergy provides the definitive roadmap for navigating the complexities of modern multi-asset allocation.</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