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2D3748"/>
          <w:sz w:val="48"/>
          <w:szCs w:val="48"/>
        </w:rPr>
        <w:t xml:space="preserve">Scope of Work</w:t>
      </w:r>
    </w:p>
    <w:p>
      <w:pPr>
        <w:spacing w:after="40"/>
      </w:pPr>
      <w:r>
        <w:rPr>
          <w:rFonts w:ascii="Arial" w:cs="Arial" w:eastAsia="Arial" w:hAnsi="Arial"/>
          <w:color w:val="2B6CB0"/>
          <w:sz w:val="28"/>
          <w:szCs w:val="28"/>
        </w:rPr>
        <w:t xml:space="preserve">AI Discovery and Rapid Prototyping Engagement</w:t>
      </w:r>
    </w:p>
    <w:p>
      <w:pPr>
        <w:pBdr>
          <w:bottom w:val="single" w:color="2B6CB0" w:sz="6" w:space="8"/>
        </w:pBd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2D3748"/>
                <w:sz w:val="22"/>
                <w:szCs w:val="22"/>
              </w:rPr>
              <w:t xml:space="preserve">Client:</w:t>
            </w:r>
          </w:p>
        </w:tc>
        <w:tc>
          <w:tcPr>
            <w:tcW w:type="dxa" w:w="69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2D3748"/>
                <w:sz w:val="22"/>
                <w:szCs w:val="22"/>
              </w:rPr>
              <w:t xml:space="preserve">[Foundation Name]</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2D3748"/>
                <w:sz w:val="22"/>
                <w:szCs w:val="22"/>
              </w:rPr>
              <w:t xml:space="preserve">Provider:</w:t>
            </w:r>
          </w:p>
        </w:tc>
        <w:tc>
          <w:tcPr>
            <w:tcW w:type="dxa" w:w="69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2D3748"/>
                <w:sz w:val="22"/>
                <w:szCs w:val="22"/>
              </w:rPr>
              <w:t xml:space="preserve">[Your Firm]</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2D3748"/>
                <w:sz w:val="22"/>
                <w:szCs w:val="22"/>
              </w:rPr>
              <w:t xml:space="preserve">Duration:</w:t>
            </w:r>
          </w:p>
        </w:tc>
        <w:tc>
          <w:tcPr>
            <w:tcW w:type="dxa" w:w="69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2D3748"/>
                <w:sz w:val="22"/>
                <w:szCs w:val="22"/>
              </w:rPr>
              <w:t xml:space="preserve">Six (6) weeks from date of execution</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2D3748"/>
                <w:sz w:val="22"/>
                <w:szCs w:val="22"/>
              </w:rPr>
              <w:t xml:space="preserve">On-Site Days:</w:t>
            </w:r>
          </w:p>
        </w:tc>
        <w:tc>
          <w:tcPr>
            <w:tcW w:type="dxa" w:w="69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2D3748"/>
                <w:sz w:val="22"/>
                <w:szCs w:val="22"/>
              </w:rPr>
              <w:t xml:space="preserve">Two to three (2–3) days with client teams</w:t>
            </w:r>
          </w:p>
        </w:tc>
      </w:tr>
    </w:tbl>
    <w:p>
      <w:pPr>
        <w:spacing w:after="200"/>
      </w:pPr>
    </w:p>
    <w:p>
      <w:pPr>
        <w:pStyle w:val="Heading1"/>
        <w:spacing w:after="160" w:before="360"/>
      </w:pPr>
      <w:r>
        <w:rPr>
          <w:rFonts w:ascii="Arial" w:cs="Arial" w:eastAsia="Arial" w:hAnsi="Arial"/>
          <w:b/>
          <w:bCs/>
          <w:color w:val="2D3748"/>
          <w:sz w:val="32"/>
          <w:szCs w:val="32"/>
        </w:rPr>
        <w:t xml:space="preserve">1. Purpose</w:t>
      </w:r>
    </w:p>
    <w:p>
      <w:pPr>
        <w:spacing w:after="160"/>
        <w:jc w:val="left"/>
      </w:pPr>
      <w:r>
        <w:rPr>
          <w:rFonts w:ascii="Arial" w:cs="Arial" w:eastAsia="Arial" w:hAnsi="Arial"/>
          <w:color w:val="2D3748"/>
          <w:sz w:val="22"/>
          <w:szCs w:val="22"/>
        </w:rPr>
        <w:t xml:space="preserve">The purpose of this engagement is to establish a dedicated AI Discovery environment—referred to throughout this document as the “Counter”—where foundation teams can surface operational needs, explore AI-enabled solutions, and leave with a tangible artifact that demonstrates what is possible and what it would take to pursue further.</w:t>
      </w:r>
    </w:p>
    <w:p>
      <w:pPr>
        <w:spacing w:after="160"/>
        <w:jc w:val="left"/>
      </w:pPr>
      <w:r>
        <w:rPr>
          <w:rFonts w:ascii="Arial" w:cs="Arial" w:eastAsia="Arial" w:hAnsi="Arial"/>
          <w:color w:val="2D3748"/>
          <w:sz w:val="22"/>
          <w:szCs w:val="22"/>
        </w:rPr>
        <w:t xml:space="preserve">This engagement is designed to accomplish three things: demonstrate the speed and accessibility of building AI-driven tools; generate a portfolio of concrete, team-specific opportunity assessments; and produce a strategic input document for foundation leadership to inform decisions about AI investment, priorities, and resourcing.</w:t>
      </w:r>
    </w:p>
    <w:p>
      <w:pPr>
        <w:pStyle w:val="Heading1"/>
        <w:spacing w:after="160" w:before="360"/>
      </w:pPr>
      <w:r>
        <w:rPr>
          <w:rFonts w:ascii="Arial" w:cs="Arial" w:eastAsia="Arial" w:hAnsi="Arial"/>
          <w:b/>
          <w:bCs/>
          <w:color w:val="2D3748"/>
          <w:sz w:val="32"/>
          <w:szCs w:val="32"/>
        </w:rPr>
        <w:t xml:space="preserve">2. Scope of Services</w:t>
      </w:r>
    </w:p>
    <w:p>
      <w:pPr>
        <w:spacing w:after="160"/>
        <w:jc w:val="left"/>
      </w:pPr>
      <w:r>
        <w:rPr>
          <w:rFonts w:ascii="Arial" w:cs="Arial" w:eastAsia="Arial" w:hAnsi="Arial"/>
          <w:color w:val="2D3748"/>
          <w:sz w:val="22"/>
          <w:szCs w:val="22"/>
        </w:rPr>
        <w:t xml:space="preserve">The Provider will deliver an end-to-end AI discovery and rapid prototyping process structured around three phases:</w:t>
      </w:r>
    </w:p>
    <w:p>
      <w:pPr>
        <w:pStyle w:val="Heading2"/>
        <w:spacing w:after="160" w:before="240"/>
      </w:pPr>
      <w:r>
        <w:rPr>
          <w:rFonts w:ascii="Arial" w:cs="Arial" w:eastAsia="Arial" w:hAnsi="Arial"/>
          <w:b/>
          <w:bCs/>
          <w:color w:val="2D3748"/>
          <w:sz w:val="26"/>
          <w:szCs w:val="26"/>
        </w:rPr>
        <w:t xml:space="preserve">Phase 1: Counter Setup and Intake Design</w:t>
      </w:r>
    </w:p>
    <w:p>
      <w:pPr>
        <w:spacing w:after="160"/>
        <w:jc w:val="left"/>
      </w:pPr>
      <w:r>
        <w:rPr>
          <w:rFonts w:ascii="Arial" w:cs="Arial" w:eastAsia="Arial" w:hAnsi="Arial"/>
          <w:color w:val="2D3748"/>
          <w:sz w:val="22"/>
          <w:szCs w:val="22"/>
        </w:rPr>
        <w:t xml:space="preserve">The Provider will configure the AI Discovery Counter environment, including the tools, frameworks, and templates necessary to conduct rapid build sprints with individual teams. The Provider will also design the intake process used to capture each team’s needs, constraints, and current workflows prior to the build sprint.</w:t>
      </w:r>
    </w:p>
    <w:p>
      <w:pPr>
        <w:pStyle w:val="Heading2"/>
        <w:spacing w:after="160" w:before="240"/>
      </w:pPr>
      <w:r>
        <w:rPr>
          <w:rFonts w:ascii="Arial" w:cs="Arial" w:eastAsia="Arial" w:hAnsi="Arial"/>
          <w:b/>
          <w:bCs/>
          <w:color w:val="2D3748"/>
          <w:sz w:val="26"/>
          <w:szCs w:val="26"/>
        </w:rPr>
        <w:t xml:space="preserve">Phase 2: Team Engagements</w:t>
      </w:r>
    </w:p>
    <w:p>
      <w:pPr>
        <w:spacing w:after="160"/>
        <w:jc w:val="left"/>
      </w:pPr>
      <w:r>
        <w:rPr>
          <w:rFonts w:ascii="Arial" w:cs="Arial" w:eastAsia="Arial" w:hAnsi="Arial"/>
          <w:color w:val="2D3748"/>
          <w:sz w:val="22"/>
          <w:szCs w:val="22"/>
        </w:rPr>
        <w:t xml:space="preserve">Foundation teams will rotate through the Counter over the course of the engagement. Each team engagement follows a consistent three-step arc:</w:t>
      </w:r>
    </w:p>
    <w:p>
      <w:pPr>
        <w:pStyle w:val="ListParagraph"/>
        <w:numPr>
          <w:ilvl w:val="0"/>
          <w:numId w:val="2"/>
        </w:numPr>
        <w:spacing w:after="100"/>
      </w:pPr>
      <w:r>
        <w:rPr>
          <w:rFonts w:ascii="Arial" w:cs="Arial" w:eastAsia="Arial" w:hAnsi="Arial"/>
          <w:b/>
          <w:bCs/>
          <w:color w:val="2D3748"/>
          <w:sz w:val="22"/>
          <w:szCs w:val="22"/>
        </w:rPr>
        <w:t xml:space="preserve">Discovery.</w:t>
      </w:r>
      <w:r>
        <w:rPr>
          <w:rFonts w:ascii="Arial" w:cs="Arial" w:eastAsia="Arial" w:hAnsi="Arial"/>
          <w:color w:val="2D3748"/>
          <w:sz w:val="22"/>
          <w:szCs w:val="22"/>
        </w:rPr>
        <w:t xml:space="preserve"> A structured conversation with the team to understand their workflow, pain points, and the specific problem or opportunity they want to explore.</w:t>
      </w:r>
    </w:p>
    <w:p>
      <w:pPr>
        <w:pStyle w:val="ListParagraph"/>
        <w:numPr>
          <w:ilvl w:val="0"/>
          <w:numId w:val="2"/>
        </w:numPr>
        <w:spacing w:after="100"/>
      </w:pPr>
      <w:r>
        <w:rPr>
          <w:rFonts w:ascii="Arial" w:cs="Arial" w:eastAsia="Arial" w:hAnsi="Arial"/>
          <w:b/>
          <w:bCs/>
          <w:color w:val="2D3748"/>
          <w:sz w:val="22"/>
          <w:szCs w:val="22"/>
        </w:rPr>
        <w:t xml:space="preserve">Build Sprint.</w:t>
      </w:r>
      <w:r>
        <w:rPr>
          <w:rFonts w:ascii="Arial" w:cs="Arial" w:eastAsia="Arial" w:hAnsi="Arial"/>
          <w:color w:val="2D3748"/>
          <w:sz w:val="22"/>
          <w:szCs w:val="22"/>
        </w:rPr>
        <w:t xml:space="preserve"> The Provider builds a deliverable artifact appropriate to the complexity tier of the use case, as defined in Section 3 below.</w:t>
      </w:r>
    </w:p>
    <w:p>
      <w:pPr>
        <w:pStyle w:val="ListParagraph"/>
        <w:numPr>
          <w:ilvl w:val="0"/>
          <w:numId w:val="2"/>
        </w:numPr>
        <w:spacing w:after="200"/>
      </w:pPr>
      <w:r>
        <w:rPr>
          <w:rFonts w:ascii="Arial" w:cs="Arial" w:eastAsia="Arial" w:hAnsi="Arial"/>
          <w:b/>
          <w:bCs/>
          <w:color w:val="2D3748"/>
          <w:sz w:val="22"/>
          <w:szCs w:val="22"/>
        </w:rPr>
        <w:t xml:space="preserve">Packaged Output.</w:t>
      </w:r>
      <w:r>
        <w:rPr>
          <w:rFonts w:ascii="Arial" w:cs="Arial" w:eastAsia="Arial" w:hAnsi="Arial"/>
          <w:color w:val="2D3748"/>
          <w:sz w:val="22"/>
          <w:szCs w:val="22"/>
        </w:rPr>
        <w:t xml:space="preserve"> The Provider delivers an AI Opportunity Brief to the team and to foundation leadership, as defined in Section 4 below.</w:t>
      </w:r>
    </w:p>
    <w:p>
      <w:pPr>
        <w:pStyle w:val="Heading2"/>
        <w:spacing w:after="160" w:before="240"/>
      </w:pPr>
      <w:r>
        <w:rPr>
          <w:rFonts w:ascii="Arial" w:cs="Arial" w:eastAsia="Arial" w:hAnsi="Arial"/>
          <w:b/>
          <w:bCs/>
          <w:color w:val="2D3748"/>
          <w:sz w:val="26"/>
          <w:szCs w:val="26"/>
        </w:rPr>
        <w:t xml:space="preserve">Phase 3: Leadership Synthesis</w:t>
      </w:r>
    </w:p>
    <w:p>
      <w:pPr>
        <w:spacing w:after="160"/>
        <w:jc w:val="left"/>
      </w:pPr>
      <w:r>
        <w:rPr>
          <w:rFonts w:ascii="Arial" w:cs="Arial" w:eastAsia="Arial" w:hAnsi="Arial"/>
          <w:color w:val="2D3748"/>
          <w:sz w:val="22"/>
          <w:szCs w:val="22"/>
        </w:rPr>
        <w:t xml:space="preserve">At the conclusion of all team engagements, the Provider will compile findings into a consolidated portfolio and present a summary to foundation leadership. This summary will map the landscape of AI opportunities identified across teams, highlight patterns and shared needs, and provide actionable recommendations for prioritization.</w:t>
      </w:r>
    </w:p>
    <w:p>
      <w:pPr>
        <w:pStyle w:val="Heading1"/>
        <w:spacing w:after="160" w:before="360"/>
      </w:pPr>
      <w:r>
        <w:rPr>
          <w:rFonts w:ascii="Arial" w:cs="Arial" w:eastAsia="Arial" w:hAnsi="Arial"/>
          <w:b/>
          <w:bCs/>
          <w:color w:val="2D3748"/>
          <w:sz w:val="32"/>
          <w:szCs w:val="32"/>
        </w:rPr>
        <w:t xml:space="preserve">3. Deliverable Complexity Tiers</w:t>
      </w:r>
    </w:p>
    <w:p>
      <w:pPr>
        <w:spacing w:after="160"/>
        <w:jc w:val="left"/>
      </w:pPr>
      <w:r>
        <w:rPr>
          <w:rFonts w:ascii="Arial" w:cs="Arial" w:eastAsia="Arial" w:hAnsi="Arial"/>
          <w:color w:val="2D3748"/>
          <w:sz w:val="22"/>
          <w:szCs w:val="22"/>
        </w:rPr>
        <w:t xml:space="preserve">Not all use cases carry the same level of technical complexity. Some needs can be addressed with a standalone tool built within the engagement window. Others require integration with existing systems or organizational decisions that extend beyond this scope. To set clear expectations and protect both parties, the build component of each AI Opportunity Brief is classified into one of three tiers.</w:t>
      </w:r>
    </w:p>
    <w:p>
      <w:pPr>
        <w:spacing w:after="160"/>
        <w:jc w:val="left"/>
      </w:pPr>
      <w:r>
        <w:rPr>
          <w:rFonts w:ascii="Arial" w:cs="Arial" w:eastAsia="Arial" w:hAnsi="Arial"/>
          <w:color w:val="2D3748"/>
          <w:sz w:val="22"/>
          <w:szCs w:val="22"/>
        </w:rPr>
        <w:t xml:space="preserve">Tier classification is determined by the Provider during the Discovery step of each team engagement, based on the technical feasibility of the use case within the engagement window and the degree of integration required with the Client’s existing systems and infrastructure.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CBD5E0" w:sz="1"/>
              <w:left w:val="single" w:color="CBD5E0" w:sz="1"/>
              <w:bottom w:val="single" w:color="CBD5E0" w:sz="1"/>
              <w:right w:val="single" w:color="CBD5E0" w:sz="1"/>
            </w:tcBorders>
            <w:shd w:fill="2B6CB0"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Tier</w:t>
            </w:r>
          </w:p>
        </w:tc>
        <w:tc>
          <w:tcPr>
            <w:tcW w:type="dxa" w:w="2400"/>
            <w:tcBorders>
              <w:top w:val="single" w:color="CBD5E0" w:sz="1"/>
              <w:left w:val="single" w:color="CBD5E0" w:sz="1"/>
              <w:bottom w:val="single" w:color="CBD5E0" w:sz="1"/>
              <w:right w:val="single" w:color="CBD5E0" w:sz="1"/>
            </w:tcBorders>
            <w:shd w:fill="2B6CB0" w:val="clear"/>
            <w:tcMar>
              <w:top w:type="dxa" w:w="100"/>
              <w:left w:type="dxa" w:w="150"/>
              <w:bottom w:type="dxa" w:w="100"/>
              <w:right w:type="dxa" w:w="150"/>
            </w:tcMar>
          </w:tcPr>
          <w:p>
            <w:r>
              <w:rPr>
                <w:rFonts w:ascii="Arial" w:cs="Arial" w:eastAsia="Arial" w:hAnsi="Arial"/>
                <w:b/>
                <w:bCs/>
                <w:color w:val="FFFFFF"/>
                <w:sz w:val="22"/>
                <w:szCs w:val="22"/>
              </w:rPr>
              <w:t xml:space="preserve">Classification</w:t>
            </w:r>
          </w:p>
        </w:tc>
        <w:tc>
          <w:tcPr>
            <w:tcW w:type="dxa" w:w="5360"/>
            <w:tcBorders>
              <w:top w:val="single" w:color="CBD5E0" w:sz="1"/>
              <w:left w:val="single" w:color="CBD5E0" w:sz="1"/>
              <w:bottom w:val="single" w:color="CBD5E0" w:sz="1"/>
              <w:right w:val="single" w:color="CBD5E0" w:sz="1"/>
            </w:tcBorders>
            <w:shd w:fill="2B6CB0" w:val="clear"/>
            <w:tcMar>
              <w:top w:type="dxa" w:w="100"/>
              <w:left w:type="dxa" w:w="150"/>
              <w:bottom w:type="dxa" w:w="100"/>
              <w:right w:type="dxa" w:w="150"/>
            </w:tcMar>
          </w:tcPr>
          <w:p>
            <w:r>
              <w:rPr>
                <w:rFonts w:ascii="Arial" w:cs="Arial" w:eastAsia="Arial" w:hAnsi="Arial"/>
                <w:color w:val="FFFFFF"/>
                <w:sz w:val="22"/>
                <w:szCs w:val="22"/>
              </w:rPr>
              <w:t xml:space="preserve">Description</w:t>
            </w:r>
          </w:p>
        </w:tc>
      </w:tr>
      <w:tr>
        <w:tc>
          <w:tcPr>
            <w:tcW w:type="dxa" w:w="1600"/>
            <w:tcBorders>
              <w:top w:val="single" w:color="CBD5E0" w:sz="1"/>
              <w:left w:val="single" w:color="CBD5E0" w:sz="1"/>
              <w:bottom w:val="single" w:color="CBD5E0" w:sz="1"/>
              <w:right w:val="single" w:color="CBD5E0"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2D3748"/>
                <w:sz w:val="22"/>
                <w:szCs w:val="22"/>
              </w:rPr>
              <w:t xml:space="preserve">1</w:t>
            </w:r>
          </w:p>
        </w:tc>
        <w:tc>
          <w:tcPr>
            <w:tcW w:type="dxa" w:w="2400"/>
            <w:tcBorders>
              <w:top w:val="single" w:color="CBD5E0" w:sz="1"/>
              <w:left w:val="single" w:color="CBD5E0" w:sz="1"/>
              <w:bottom w:val="single" w:color="CBD5E0" w:sz="1"/>
              <w:right w:val="single" w:color="CBD5E0" w:sz="1"/>
            </w:tcBorders>
            <w:shd w:fill="FFFFFF" w:val="clear"/>
            <w:tcMar>
              <w:top w:type="dxa" w:w="100"/>
              <w:left w:type="dxa" w:w="150"/>
              <w:bottom w:type="dxa" w:w="100"/>
              <w:right w:type="dxa" w:w="150"/>
            </w:tcMar>
          </w:tcPr>
          <w:p>
            <w:r>
              <w:rPr>
                <w:rFonts w:ascii="Arial" w:cs="Arial" w:eastAsia="Arial" w:hAnsi="Arial"/>
                <w:b w:val="false"/>
                <w:bCs w:val="false"/>
                <w:color w:val="2D3748"/>
                <w:sz w:val="22"/>
                <w:szCs w:val="22"/>
              </w:rPr>
              <w:t xml:space="preserve">Functional Tool</w:t>
            </w:r>
          </w:p>
        </w:tc>
        <w:tc>
          <w:tcPr>
            <w:tcW w:type="dxa" w:w="5360"/>
            <w:tcBorders>
              <w:top w:val="single" w:color="CBD5E0" w:sz="1"/>
              <w:left w:val="single" w:color="CBD5E0" w:sz="1"/>
              <w:bottom w:val="single" w:color="CBD5E0" w:sz="1"/>
              <w:right w:val="single" w:color="CBD5E0" w:sz="1"/>
            </w:tcBorders>
            <w:shd w:fill="FFFFFF" w:val="clear"/>
            <w:tcMar>
              <w:top w:type="dxa" w:w="100"/>
              <w:left w:type="dxa" w:w="150"/>
              <w:bottom w:type="dxa" w:w="100"/>
              <w:right w:type="dxa" w:w="150"/>
            </w:tcMar>
          </w:tcPr>
          <w:p>
            <w:r>
              <w:rPr>
                <w:rFonts w:ascii="Arial" w:cs="Arial" w:eastAsia="Arial" w:hAnsi="Arial"/>
                <w:color w:val="2D3748"/>
                <w:sz w:val="22"/>
                <w:szCs w:val="22"/>
              </w:rPr>
              <w:t xml:space="preserve">The use case is self-contained and does not require integration with the Client’s existing platforms, data systems, or infrastructure. The Provider delivers a working tool that the team can use immediately or with minimal configuration. Examples include standalone calculators, decision-support utilities, content generation tools, or internal workflow aids.</w:t>
            </w:r>
          </w:p>
        </w:tc>
      </w:tr>
      <w:tr>
        <w:tc>
          <w:tcPr>
            <w:tcW w:type="dxa" w:w="1600"/>
            <w:tcBorders>
              <w:top w:val="single" w:color="CBD5E0" w:sz="1"/>
              <w:left w:val="single" w:color="CBD5E0" w:sz="1"/>
              <w:bottom w:val="single" w:color="CBD5E0" w:sz="1"/>
              <w:right w:val="single" w:color="CBD5E0"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2D3748"/>
                <w:sz w:val="22"/>
                <w:szCs w:val="22"/>
              </w:rPr>
              <w:t xml:space="preserve">2</w:t>
            </w:r>
          </w:p>
        </w:tc>
        <w:tc>
          <w:tcPr>
            <w:tcW w:type="dxa" w:w="2400"/>
            <w:tcBorders>
              <w:top w:val="single" w:color="CBD5E0" w:sz="1"/>
              <w:left w:val="single" w:color="CBD5E0" w:sz="1"/>
              <w:bottom w:val="single" w:color="CBD5E0" w:sz="1"/>
              <w:right w:val="single" w:color="CBD5E0" w:sz="1"/>
            </w:tcBorders>
            <w:shd w:fill="FFFFFF" w:val="clear"/>
            <w:tcMar>
              <w:top w:type="dxa" w:w="100"/>
              <w:left w:type="dxa" w:w="150"/>
              <w:bottom w:type="dxa" w:w="100"/>
              <w:right w:type="dxa" w:w="150"/>
            </w:tcMar>
          </w:tcPr>
          <w:p>
            <w:r>
              <w:rPr>
                <w:rFonts w:ascii="Arial" w:cs="Arial" w:eastAsia="Arial" w:hAnsi="Arial"/>
                <w:b w:val="false"/>
                <w:bCs w:val="false"/>
                <w:color w:val="2D3748"/>
                <w:sz w:val="22"/>
                <w:szCs w:val="22"/>
              </w:rPr>
              <w:t xml:space="preserve">Interactive Demonstration</w:t>
            </w:r>
          </w:p>
        </w:tc>
        <w:tc>
          <w:tcPr>
            <w:tcW w:type="dxa" w:w="5360"/>
            <w:tcBorders>
              <w:top w:val="single" w:color="CBD5E0" w:sz="1"/>
              <w:left w:val="single" w:color="CBD5E0" w:sz="1"/>
              <w:bottom w:val="single" w:color="CBD5E0" w:sz="1"/>
              <w:right w:val="single" w:color="CBD5E0" w:sz="1"/>
            </w:tcBorders>
            <w:shd w:fill="FFFFFF" w:val="clear"/>
            <w:tcMar>
              <w:top w:type="dxa" w:w="100"/>
              <w:left w:type="dxa" w:w="150"/>
              <w:bottom w:type="dxa" w:w="100"/>
              <w:right w:type="dxa" w:w="150"/>
            </w:tcMar>
          </w:tcPr>
          <w:p>
            <w:r>
              <w:rPr>
                <w:rFonts w:ascii="Arial" w:cs="Arial" w:eastAsia="Arial" w:hAnsi="Arial"/>
                <w:color w:val="2D3748"/>
                <w:sz w:val="22"/>
                <w:szCs w:val="22"/>
              </w:rPr>
              <w:t xml:space="preserve">The use case involves existing systems, data sources, or platforms that the Provider cannot access, modify, or integrate within the engagement scope. The Provider delivers an interactive prototype that visualizes the intended experience using representative or sample data. The demonstration is designed to validate the concept with the team and communicate the opportunity to leadership. Examples include visualizing an AI-powered data feed into an existing platform or simulating an automated workflow across systems.</w:t>
            </w:r>
          </w:p>
        </w:tc>
      </w:tr>
      <w:tr>
        <w:tc>
          <w:tcPr>
            <w:tcW w:type="dxa" w:w="1600"/>
            <w:tcBorders>
              <w:top w:val="single" w:color="CBD5E0" w:sz="1"/>
              <w:left w:val="single" w:color="CBD5E0" w:sz="1"/>
              <w:bottom w:val="single" w:color="CBD5E0" w:sz="1"/>
              <w:right w:val="single" w:color="CBD5E0"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2D3748"/>
                <w:sz w:val="22"/>
                <w:szCs w:val="22"/>
              </w:rPr>
              <w:t xml:space="preserve">3</w:t>
            </w:r>
          </w:p>
        </w:tc>
        <w:tc>
          <w:tcPr>
            <w:tcW w:type="dxa" w:w="2400"/>
            <w:tcBorders>
              <w:top w:val="single" w:color="CBD5E0" w:sz="1"/>
              <w:left w:val="single" w:color="CBD5E0" w:sz="1"/>
              <w:bottom w:val="single" w:color="CBD5E0" w:sz="1"/>
              <w:right w:val="single" w:color="CBD5E0" w:sz="1"/>
            </w:tcBorders>
            <w:shd w:fill="FFFFFF" w:val="clear"/>
            <w:tcMar>
              <w:top w:type="dxa" w:w="100"/>
              <w:left w:type="dxa" w:w="150"/>
              <w:bottom w:type="dxa" w:w="100"/>
              <w:right w:type="dxa" w:w="150"/>
            </w:tcMar>
          </w:tcPr>
          <w:p>
            <w:r>
              <w:rPr>
                <w:rFonts w:ascii="Arial" w:cs="Arial" w:eastAsia="Arial" w:hAnsi="Arial"/>
                <w:b w:val="false"/>
                <w:bCs w:val="false"/>
                <w:color w:val="2D3748"/>
                <w:sz w:val="22"/>
                <w:szCs w:val="22"/>
              </w:rPr>
              <w:t xml:space="preserve">Documented Concept</w:t>
            </w:r>
          </w:p>
        </w:tc>
        <w:tc>
          <w:tcPr>
            <w:tcW w:type="dxa" w:w="5360"/>
            <w:tcBorders>
              <w:top w:val="single" w:color="CBD5E0" w:sz="1"/>
              <w:left w:val="single" w:color="CBD5E0" w:sz="1"/>
              <w:bottom w:val="single" w:color="CBD5E0" w:sz="1"/>
              <w:right w:val="single" w:color="CBD5E0" w:sz="1"/>
            </w:tcBorders>
            <w:shd w:fill="FFFFFF" w:val="clear"/>
            <w:tcMar>
              <w:top w:type="dxa" w:w="100"/>
              <w:left w:type="dxa" w:w="150"/>
              <w:bottom w:type="dxa" w:w="100"/>
              <w:right w:type="dxa" w:w="150"/>
            </w:tcMar>
          </w:tcPr>
          <w:p>
            <w:r>
              <w:rPr>
                <w:rFonts w:ascii="Arial" w:cs="Arial" w:eastAsia="Arial" w:hAnsi="Arial"/>
                <w:color w:val="2D3748"/>
                <w:sz w:val="22"/>
                <w:szCs w:val="22"/>
              </w:rPr>
              <w:t xml:space="preserve">The use case is complex, involves multiple interconnected systems, or requires organizational, procurement, or policy decisions before building is appropriate. The Provider delivers a documented concept that maps the intended workflow, defines the logic and data requirements, and scopes what implementation would require. This artifact serves as a blueprint for future development. Examples include multi-system automation pipelines, enterprise integrations, or capabilities requiring vendor or platform decisions.</w:t>
            </w:r>
          </w:p>
        </w:tc>
      </w:tr>
    </w:tbl>
    <w:p>
      <w:pPr>
        <w:spacing w:after="200"/>
      </w:pPr>
    </w:p>
    <w:p>
      <w:pPr>
        <w:pStyle w:val="Heading1"/>
        <w:spacing w:after="160" w:before="360"/>
      </w:pPr>
      <w:r>
        <w:rPr>
          <w:rFonts w:ascii="Arial" w:cs="Arial" w:eastAsia="Arial" w:hAnsi="Arial"/>
          <w:b/>
          <w:bCs/>
          <w:color w:val="2D3748"/>
          <w:sz w:val="32"/>
          <w:szCs w:val="32"/>
        </w:rPr>
        <w:t xml:space="preserve">4. AI Opportunity Brief</w:t>
      </w:r>
    </w:p>
    <w:p>
      <w:pPr>
        <w:spacing w:after="160"/>
        <w:jc w:val="left"/>
      </w:pPr>
      <w:r>
        <w:rPr>
          <w:rFonts w:ascii="Arial" w:cs="Arial" w:eastAsia="Arial" w:hAnsi="Arial"/>
          <w:color w:val="2D3748"/>
          <w:sz w:val="22"/>
          <w:szCs w:val="22"/>
        </w:rPr>
        <w:t xml:space="preserve">Each participating team receives one AI Opportunity Brief. This is the consistent, named deliverable of the engagement. Regardless of tier classification, every Brief follows the same structure: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0" w:sz="1"/>
              <w:left w:val="single" w:color="CBD5E0" w:sz="1"/>
              <w:bottom w:val="single" w:color="CBD5E0" w:sz="1"/>
              <w:right w:val="single" w:color="CBD5E0" w:sz="1"/>
            </w:tcBorders>
            <w:shd w:fill="2B6CB0" w:val="clear"/>
            <w:tcMar>
              <w:top w:type="dxa" w:w="100"/>
              <w:left w:type="dxa" w:w="150"/>
              <w:bottom w:type="dxa" w:w="100"/>
              <w:right w:type="dxa" w:w="150"/>
            </w:tcMar>
          </w:tcPr>
          <w:p>
            <w:r>
              <w:rPr>
                <w:rFonts w:ascii="Arial" w:cs="Arial" w:eastAsia="Arial" w:hAnsi="Arial"/>
                <w:b/>
                <w:bCs/>
                <w:color w:val="FFFFFF"/>
                <w:sz w:val="22"/>
                <w:szCs w:val="22"/>
              </w:rPr>
              <w:t xml:space="preserve">Component</w:t>
            </w:r>
          </w:p>
        </w:tc>
        <w:tc>
          <w:tcPr>
            <w:tcW w:type="dxa" w:w="6160"/>
            <w:tcBorders>
              <w:top w:val="single" w:color="CBD5E0" w:sz="1"/>
              <w:left w:val="single" w:color="CBD5E0" w:sz="1"/>
              <w:bottom w:val="single" w:color="CBD5E0" w:sz="1"/>
              <w:right w:val="single" w:color="CBD5E0" w:sz="1"/>
            </w:tcBorders>
            <w:shd w:fill="2B6CB0" w:val="clear"/>
            <w:tcMar>
              <w:top w:type="dxa" w:w="100"/>
              <w:left w:type="dxa" w:w="150"/>
              <w:bottom w:type="dxa" w:w="100"/>
              <w:right w:type="dxa" w:w="150"/>
            </w:tcMar>
          </w:tcPr>
          <w:p>
            <w:r>
              <w:rPr>
                <w:rFonts w:ascii="Arial" w:cs="Arial" w:eastAsia="Arial" w:hAnsi="Arial"/>
                <w:color w:val="FFFFFF"/>
                <w:sz w:val="22"/>
                <w:szCs w:val="22"/>
              </w:rPr>
              <w:t xml:space="preserve">Description</w:t>
            </w:r>
          </w:p>
        </w:tc>
      </w:tr>
      <w:tr>
        <w:tc>
          <w:tcPr>
            <w:tcW w:type="dxa" w:w="3200"/>
            <w:tcBorders>
              <w:top w:val="single" w:color="CBD5E0" w:sz="1"/>
              <w:left w:val="single" w:color="CBD5E0" w:sz="1"/>
              <w:bottom w:val="single" w:color="CBD5E0" w:sz="1"/>
              <w:right w:val="single" w:color="CBD5E0" w:sz="1"/>
            </w:tcBorders>
            <w:shd w:fill="FFFFFF" w:val="clear"/>
            <w:tcMar>
              <w:top w:type="dxa" w:w="100"/>
              <w:left w:type="dxa" w:w="150"/>
              <w:bottom w:type="dxa" w:w="100"/>
              <w:right w:type="dxa" w:w="150"/>
            </w:tcMar>
          </w:tcPr>
          <w:p>
            <w:r>
              <w:rPr>
                <w:rFonts w:ascii="Arial" w:cs="Arial" w:eastAsia="Arial" w:hAnsi="Arial"/>
                <w:b/>
                <w:bCs/>
                <w:color w:val="2D3748"/>
                <w:sz w:val="22"/>
                <w:szCs w:val="22"/>
              </w:rPr>
              <w:t xml:space="preserve">Problem Statement</w:t>
            </w:r>
          </w:p>
        </w:tc>
        <w:tc>
          <w:tcPr>
            <w:tcW w:type="dxa" w:w="6160"/>
            <w:tcBorders>
              <w:top w:val="single" w:color="CBD5E0" w:sz="1"/>
              <w:left w:val="single" w:color="CBD5E0" w:sz="1"/>
              <w:bottom w:val="single" w:color="CBD5E0" w:sz="1"/>
              <w:right w:val="single" w:color="CBD5E0" w:sz="1"/>
            </w:tcBorders>
            <w:shd w:fill="FFFFFF" w:val="clear"/>
            <w:tcMar>
              <w:top w:type="dxa" w:w="100"/>
              <w:left w:type="dxa" w:w="150"/>
              <w:bottom w:type="dxa" w:w="100"/>
              <w:right w:type="dxa" w:w="150"/>
            </w:tcMar>
          </w:tcPr>
          <w:p>
            <w:r>
              <w:rPr>
                <w:rFonts w:ascii="Arial" w:cs="Arial" w:eastAsia="Arial" w:hAnsi="Arial"/>
                <w:color w:val="2D3748"/>
                <w:sz w:val="22"/>
                <w:szCs w:val="22"/>
              </w:rPr>
              <w:t xml:space="preserve">A clear articulation of the team’s need, workflow challenge, or opportunity as surfaced during Discovery.</w:t>
            </w:r>
          </w:p>
        </w:tc>
      </w:tr>
      <w:tr>
        <w:tc>
          <w:tcPr>
            <w:tcW w:type="dxa" w:w="3200"/>
            <w:tcBorders>
              <w:top w:val="single" w:color="CBD5E0" w:sz="1"/>
              <w:left w:val="single" w:color="CBD5E0" w:sz="1"/>
              <w:bottom w:val="single" w:color="CBD5E0" w:sz="1"/>
              <w:right w:val="single" w:color="CBD5E0" w:sz="1"/>
            </w:tcBorders>
            <w:shd w:fill="FFFFFF" w:val="clear"/>
            <w:tcMar>
              <w:top w:type="dxa" w:w="100"/>
              <w:left w:type="dxa" w:w="150"/>
              <w:bottom w:type="dxa" w:w="100"/>
              <w:right w:type="dxa" w:w="150"/>
            </w:tcMar>
          </w:tcPr>
          <w:p>
            <w:r>
              <w:rPr>
                <w:rFonts w:ascii="Arial" w:cs="Arial" w:eastAsia="Arial" w:hAnsi="Arial"/>
                <w:b/>
                <w:bCs/>
                <w:color w:val="2D3748"/>
                <w:sz w:val="22"/>
                <w:szCs w:val="22"/>
              </w:rPr>
              <w:t xml:space="preserve">Build Artifact</w:t>
            </w:r>
          </w:p>
        </w:tc>
        <w:tc>
          <w:tcPr>
            <w:tcW w:type="dxa" w:w="6160"/>
            <w:tcBorders>
              <w:top w:val="single" w:color="CBD5E0" w:sz="1"/>
              <w:left w:val="single" w:color="CBD5E0" w:sz="1"/>
              <w:bottom w:val="single" w:color="CBD5E0" w:sz="1"/>
              <w:right w:val="single" w:color="CBD5E0" w:sz="1"/>
            </w:tcBorders>
            <w:shd w:fill="FFFFFF" w:val="clear"/>
            <w:tcMar>
              <w:top w:type="dxa" w:w="100"/>
              <w:left w:type="dxa" w:w="150"/>
              <w:bottom w:type="dxa" w:w="100"/>
              <w:right w:type="dxa" w:w="150"/>
            </w:tcMar>
          </w:tcPr>
          <w:p>
            <w:r>
              <w:rPr>
                <w:rFonts w:ascii="Arial" w:cs="Arial" w:eastAsia="Arial" w:hAnsi="Arial"/>
                <w:color w:val="2D3748"/>
                <w:sz w:val="22"/>
                <w:szCs w:val="22"/>
              </w:rPr>
              <w:t xml:space="preserve">The tool, interactive demonstration, or documented concept produced during the Build Sprint, classified by tier.</w:t>
            </w:r>
          </w:p>
        </w:tc>
      </w:tr>
      <w:tr>
        <w:tc>
          <w:tcPr>
            <w:tcW w:type="dxa" w:w="3200"/>
            <w:tcBorders>
              <w:top w:val="single" w:color="CBD5E0" w:sz="1"/>
              <w:left w:val="single" w:color="CBD5E0" w:sz="1"/>
              <w:bottom w:val="single" w:color="CBD5E0" w:sz="1"/>
              <w:right w:val="single" w:color="CBD5E0" w:sz="1"/>
            </w:tcBorders>
            <w:shd w:fill="FFFFFF" w:val="clear"/>
            <w:tcMar>
              <w:top w:type="dxa" w:w="100"/>
              <w:left w:type="dxa" w:w="150"/>
              <w:bottom w:type="dxa" w:w="100"/>
              <w:right w:type="dxa" w:w="150"/>
            </w:tcMar>
          </w:tcPr>
          <w:p>
            <w:r>
              <w:rPr>
                <w:rFonts w:ascii="Arial" w:cs="Arial" w:eastAsia="Arial" w:hAnsi="Arial"/>
                <w:b/>
                <w:bCs/>
                <w:color w:val="2D3748"/>
                <w:sz w:val="22"/>
                <w:szCs w:val="22"/>
              </w:rPr>
              <w:t xml:space="preserve">Technical Assessment</w:t>
            </w:r>
          </w:p>
        </w:tc>
        <w:tc>
          <w:tcPr>
            <w:tcW w:type="dxa" w:w="6160"/>
            <w:tcBorders>
              <w:top w:val="single" w:color="CBD5E0" w:sz="1"/>
              <w:left w:val="single" w:color="CBD5E0" w:sz="1"/>
              <w:bottom w:val="single" w:color="CBD5E0" w:sz="1"/>
              <w:right w:val="single" w:color="CBD5E0" w:sz="1"/>
            </w:tcBorders>
            <w:shd w:fill="FFFFFF" w:val="clear"/>
            <w:tcMar>
              <w:top w:type="dxa" w:w="100"/>
              <w:left w:type="dxa" w:w="150"/>
              <w:bottom w:type="dxa" w:w="100"/>
              <w:right w:type="dxa" w:w="150"/>
            </w:tcMar>
          </w:tcPr>
          <w:p>
            <w:r>
              <w:rPr>
                <w:rFonts w:ascii="Arial" w:cs="Arial" w:eastAsia="Arial" w:hAnsi="Arial"/>
                <w:color w:val="2D3748"/>
                <w:sz w:val="22"/>
                <w:szCs w:val="22"/>
              </w:rPr>
              <w:t xml:space="preserve">A summary of what was built, how it works, and any technical considerations, limitations, or dependencies.</w:t>
            </w:r>
          </w:p>
        </w:tc>
      </w:tr>
      <w:tr>
        <w:tc>
          <w:tcPr>
            <w:tcW w:type="dxa" w:w="3200"/>
            <w:tcBorders>
              <w:top w:val="single" w:color="CBD5E0" w:sz="1"/>
              <w:left w:val="single" w:color="CBD5E0" w:sz="1"/>
              <w:bottom w:val="single" w:color="CBD5E0" w:sz="1"/>
              <w:right w:val="single" w:color="CBD5E0" w:sz="1"/>
            </w:tcBorders>
            <w:shd w:fill="FFFFFF" w:val="clear"/>
            <w:tcMar>
              <w:top w:type="dxa" w:w="100"/>
              <w:left w:type="dxa" w:w="150"/>
              <w:bottom w:type="dxa" w:w="100"/>
              <w:right w:type="dxa" w:w="150"/>
            </w:tcMar>
          </w:tcPr>
          <w:p>
            <w:r>
              <w:rPr>
                <w:rFonts w:ascii="Arial" w:cs="Arial" w:eastAsia="Arial" w:hAnsi="Arial"/>
                <w:b/>
                <w:bCs/>
                <w:color w:val="2D3748"/>
                <w:sz w:val="22"/>
                <w:szCs w:val="22"/>
              </w:rPr>
              <w:t xml:space="preserve">Path Forward</w:t>
            </w:r>
          </w:p>
        </w:tc>
        <w:tc>
          <w:tcPr>
            <w:tcW w:type="dxa" w:w="6160"/>
            <w:tcBorders>
              <w:top w:val="single" w:color="CBD5E0" w:sz="1"/>
              <w:left w:val="single" w:color="CBD5E0" w:sz="1"/>
              <w:bottom w:val="single" w:color="CBD5E0" w:sz="1"/>
              <w:right w:val="single" w:color="CBD5E0" w:sz="1"/>
            </w:tcBorders>
            <w:shd w:fill="FFFFFF" w:val="clear"/>
            <w:tcMar>
              <w:top w:type="dxa" w:w="100"/>
              <w:left w:type="dxa" w:w="150"/>
              <w:bottom w:type="dxa" w:w="100"/>
              <w:right w:type="dxa" w:w="150"/>
            </w:tcMar>
          </w:tcPr>
          <w:p>
            <w:r>
              <w:rPr>
                <w:rFonts w:ascii="Arial" w:cs="Arial" w:eastAsia="Arial" w:hAnsi="Arial"/>
                <w:color w:val="2D3748"/>
                <w:sz w:val="22"/>
                <w:szCs w:val="22"/>
              </w:rPr>
              <w:t xml:space="preserve">A recommendation on whether and how to pursue the opportunity further, including estimated effort, required resources, and potential strategic alignment.</w:t>
            </w:r>
          </w:p>
        </w:tc>
      </w:tr>
    </w:tbl>
    <w:p>
      <w:pPr>
        <w:spacing w:after="200"/>
      </w:pPr>
    </w:p>
    <w:p>
      <w:pPr>
        <w:spacing w:after="160"/>
        <w:jc w:val="left"/>
      </w:pPr>
      <w:r>
        <w:rPr>
          <w:rFonts w:ascii="Arial" w:cs="Arial" w:eastAsia="Arial" w:hAnsi="Arial"/>
          <w:color w:val="2D3748"/>
          <w:sz w:val="22"/>
          <w:szCs w:val="22"/>
        </w:rPr>
        <w:t xml:space="preserve">The Brief is designed to serve two audiences: the participating team, who receives a tangible artifact and a clear understanding of what was explored; and foundation leadership, who receives a standardized assessment that can be compared across teams and used as input for strategic planning.</w:t>
      </w:r>
    </w:p>
    <w:p>
      <w:pPr>
        <w:pStyle w:val="Heading1"/>
        <w:spacing w:after="160" w:before="360"/>
      </w:pPr>
      <w:r>
        <w:rPr>
          <w:rFonts w:ascii="Arial" w:cs="Arial" w:eastAsia="Arial" w:hAnsi="Arial"/>
          <w:b/>
          <w:bCs/>
          <w:color w:val="2D3748"/>
          <w:sz w:val="32"/>
          <w:szCs w:val="32"/>
        </w:rPr>
        <w:t xml:space="preserve">5. Exclusions</w:t>
      </w:r>
    </w:p>
    <w:p>
      <w:pPr>
        <w:spacing w:after="160"/>
        <w:jc w:val="left"/>
      </w:pPr>
      <w:r>
        <w:rPr>
          <w:rFonts w:ascii="Arial" w:cs="Arial" w:eastAsia="Arial" w:hAnsi="Arial"/>
          <w:color w:val="2D3748"/>
          <w:sz w:val="22"/>
          <w:szCs w:val="22"/>
        </w:rPr>
        <w:t xml:space="preserve">To ensure clarity of expectations, the following are explicitly outside the scope of this engagement:</w:t>
      </w:r>
    </w:p>
    <w:p>
      <w:pPr>
        <w:pStyle w:val="ListParagraph"/>
        <w:numPr>
          <w:ilvl w:val="0"/>
          <w:numId w:val="3"/>
        </w:numPr>
        <w:spacing w:after="100"/>
      </w:pPr>
      <w:r>
        <w:rPr>
          <w:rFonts w:ascii="Arial" w:cs="Arial" w:eastAsia="Arial" w:hAnsi="Arial"/>
          <w:color w:val="2D3748"/>
          <w:sz w:val="22"/>
          <w:szCs w:val="22"/>
        </w:rPr>
        <w:t xml:space="preserve">Integration with or modification of the Client’s existing production systems, platforms, databases, or infrastructure.</w:t>
      </w:r>
    </w:p>
    <w:p>
      <w:pPr>
        <w:pStyle w:val="ListParagraph"/>
        <w:numPr>
          <w:ilvl w:val="0"/>
          <w:numId w:val="3"/>
        </w:numPr>
        <w:spacing w:after="100"/>
      </w:pPr>
      <w:r>
        <w:rPr>
          <w:rFonts w:ascii="Arial" w:cs="Arial" w:eastAsia="Arial" w:hAnsi="Arial"/>
          <w:color w:val="2D3748"/>
          <w:sz w:val="22"/>
          <w:szCs w:val="22"/>
        </w:rPr>
        <w:t xml:space="preserve">Development of production-ready software, including security hardening, compliance review, or deployment to live environments.</w:t>
      </w:r>
    </w:p>
    <w:p>
      <w:pPr>
        <w:pStyle w:val="ListParagraph"/>
        <w:numPr>
          <w:ilvl w:val="0"/>
          <w:numId w:val="3"/>
        </w:numPr>
        <w:spacing w:after="100"/>
      </w:pPr>
      <w:r>
        <w:rPr>
          <w:rFonts w:ascii="Arial" w:cs="Arial" w:eastAsia="Arial" w:hAnsi="Arial"/>
          <w:color w:val="2D3748"/>
          <w:sz w:val="22"/>
          <w:szCs w:val="22"/>
        </w:rPr>
        <w:t xml:space="preserve">Ongoing maintenance, support, or iteration on deliverables after the engagement concludes.</w:t>
      </w:r>
    </w:p>
    <w:p>
      <w:pPr>
        <w:pStyle w:val="ListParagraph"/>
        <w:numPr>
          <w:ilvl w:val="0"/>
          <w:numId w:val="3"/>
        </w:numPr>
        <w:spacing w:after="100"/>
      </w:pPr>
      <w:r>
        <w:rPr>
          <w:rFonts w:ascii="Arial" w:cs="Arial" w:eastAsia="Arial" w:hAnsi="Arial"/>
          <w:color w:val="2D3748"/>
          <w:sz w:val="22"/>
          <w:szCs w:val="22"/>
        </w:rPr>
        <w:t xml:space="preserve">Procurement, licensing, or configuration of third-party tools or platforms on behalf of the Client.</w:t>
      </w:r>
    </w:p>
    <w:p>
      <w:pPr>
        <w:pStyle w:val="ListParagraph"/>
        <w:numPr>
          <w:ilvl w:val="0"/>
          <w:numId w:val="3"/>
        </w:numPr>
        <w:spacing w:after="200"/>
      </w:pPr>
      <w:r>
        <w:rPr>
          <w:rFonts w:ascii="Arial" w:cs="Arial" w:eastAsia="Arial" w:hAnsi="Arial"/>
          <w:color w:val="2D3748"/>
          <w:sz w:val="22"/>
          <w:szCs w:val="22"/>
        </w:rPr>
        <w:t xml:space="preserve">Guarantees of specific functional outcomes for Tier 2 or Tier 3 deliverables, which are exploratory and illustrative by design.</w:t>
      </w:r>
    </w:p>
    <w:p>
      <w:pPr>
        <w:spacing w:after="160"/>
        <w:jc w:val="left"/>
      </w:pPr>
      <w:r>
        <w:rPr>
          <w:rFonts w:ascii="Arial" w:cs="Arial" w:eastAsia="Arial" w:hAnsi="Arial"/>
          <w:color w:val="2D3748"/>
          <w:sz w:val="22"/>
          <w:szCs w:val="22"/>
        </w:rPr>
        <w:t xml:space="preserve">Any work beyond the scope defined in this document would require a separate agreement.</w:t>
      </w:r>
    </w:p>
    <w:p>
      <w:pPr>
        <w:pStyle w:val="Heading1"/>
        <w:spacing w:after="160" w:before="360"/>
      </w:pPr>
      <w:r>
        <w:rPr>
          <w:rFonts w:ascii="Arial" w:cs="Arial" w:eastAsia="Arial" w:hAnsi="Arial"/>
          <w:b/>
          <w:bCs/>
          <w:color w:val="2D3748"/>
          <w:sz w:val="32"/>
          <w:szCs w:val="32"/>
        </w:rPr>
        <w:t xml:space="preserve">6. Assumptions</w:t>
      </w:r>
    </w:p>
    <w:p>
      <w:pPr>
        <w:pStyle w:val="ListParagraph"/>
        <w:numPr>
          <w:ilvl w:val="0"/>
          <w:numId w:val="3"/>
        </w:numPr>
        <w:spacing w:after="100"/>
      </w:pPr>
      <w:r>
        <w:rPr>
          <w:rFonts w:ascii="Arial" w:cs="Arial" w:eastAsia="Arial" w:hAnsi="Arial"/>
          <w:color w:val="2D3748"/>
          <w:sz w:val="22"/>
          <w:szCs w:val="22"/>
        </w:rPr>
        <w:t xml:space="preserve">The Client will identify and schedule participating teams within the engagement window.</w:t>
      </w:r>
    </w:p>
    <w:p>
      <w:pPr>
        <w:pStyle w:val="ListParagraph"/>
        <w:numPr>
          <w:ilvl w:val="0"/>
          <w:numId w:val="3"/>
        </w:numPr>
        <w:spacing w:after="100"/>
      </w:pPr>
      <w:r>
        <w:rPr>
          <w:rFonts w:ascii="Arial" w:cs="Arial" w:eastAsia="Arial" w:hAnsi="Arial"/>
          <w:color w:val="2D3748"/>
          <w:sz w:val="22"/>
          <w:szCs w:val="22"/>
        </w:rPr>
        <w:t xml:space="preserve">Participating teams will make personnel available for Discovery sessions as scheduled.</w:t>
      </w:r>
    </w:p>
    <w:p>
      <w:pPr>
        <w:pStyle w:val="ListParagraph"/>
        <w:numPr>
          <w:ilvl w:val="0"/>
          <w:numId w:val="3"/>
        </w:numPr>
        <w:spacing w:after="100"/>
      </w:pPr>
      <w:r>
        <w:rPr>
          <w:rFonts w:ascii="Arial" w:cs="Arial" w:eastAsia="Arial" w:hAnsi="Arial"/>
          <w:color w:val="2D3748"/>
          <w:sz w:val="22"/>
          <w:szCs w:val="22"/>
        </w:rPr>
        <w:t xml:space="preserve">The Client will provide reasonable access to information about existing workflows and systems as needed for Discovery, without requiring the Provider to access those systems directly.</w:t>
      </w:r>
    </w:p>
    <w:p>
      <w:pPr>
        <w:pStyle w:val="ListParagraph"/>
        <w:numPr>
          <w:ilvl w:val="0"/>
          <w:numId w:val="3"/>
        </w:numPr>
        <w:spacing w:after="100"/>
      </w:pPr>
      <w:r>
        <w:rPr>
          <w:rFonts w:ascii="Arial" w:cs="Arial" w:eastAsia="Arial" w:hAnsi="Arial"/>
          <w:color w:val="2D3748"/>
          <w:sz w:val="22"/>
          <w:szCs w:val="22"/>
        </w:rPr>
        <w:t xml:space="preserve">Tier classification is at the sole discretion of the Provider, informed by the Discovery process and the constraints of the engagement window.</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0" w:sz="4" w:space="4"/>
      </w:pBdr>
      <w:jc w:val="center"/>
    </w:pPr>
    <w:r>
      <w:rPr>
        <w:rFonts w:ascii="Arial" w:cs="Arial" w:eastAsia="Arial" w:hAnsi="Arial"/>
        <w:color w:val="CBD5E0"/>
        <w:sz w:val="18"/>
        <w:szCs w:val="18"/>
      </w:rPr>
      <w:t xml:space="preserve">Page </w:t>
    </w:r>
    <w:r>
      <w:rPr>
        <w:rFonts w:ascii="Arial" w:cs="Arial" w:eastAsia="Arial" w:hAnsi="Arial"/>
        <w:color w:val="CBD5E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B6CB0" w:sz="4" w:space="4"/>
      </w:pBdr>
      <w:spacing w:after="0"/>
      <w:jc w:val="right"/>
    </w:pPr>
    <w:r>
      <w:rPr>
        <w:rFonts w:ascii="Arial" w:cs="Arial" w:eastAsia="Arial" w:hAnsi="Arial"/>
        <w:i/>
        <w:iCs/>
        <w:color w:val="2B6CB0"/>
        <w:sz w:val="18"/>
        <w:szCs w:val="18"/>
      </w:rPr>
      <w:t xml:space="preserve">SCOPE OF WORK  |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2D3748"/>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D374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2026-03-31T18:56:12.053Z</dcterms:created>
  <dcterms:modified xsi:type="dcterms:W3CDTF">2026-03-31T18:56:12.054Z</dcterms:modified>
</cp:coreProperties>
</file>

<file path=docProps/custom.xml><?xml version="1.0" encoding="utf-8"?>
<Properties xmlns="http://schemas.openxmlformats.org/officeDocument/2006/custom-properties" xmlns:vt="http://schemas.openxmlformats.org/officeDocument/2006/docPropsVTypes"/>
</file>