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16BC" w14:textId="77777777" w:rsidR="00400FAF" w:rsidRDefault="00000000">
      <w:pPr>
        <w:spacing w:after="60"/>
      </w:pPr>
      <w:r>
        <w:rPr>
          <w:b/>
          <w:bCs/>
          <w:color w:val="2D3748"/>
          <w:sz w:val="52"/>
          <w:szCs w:val="52"/>
        </w:rPr>
        <w:t>The Counter</w:t>
      </w:r>
    </w:p>
    <w:p w14:paraId="0C8816BD" w14:textId="77777777" w:rsidR="00400FAF" w:rsidRDefault="00000000">
      <w:pPr>
        <w:spacing w:after="40"/>
      </w:pPr>
      <w:r>
        <w:rPr>
          <w:color w:val="2B6CB0"/>
          <w:sz w:val="26"/>
          <w:szCs w:val="26"/>
        </w:rPr>
        <w:t>AI Discovery and Rapid Prototyping Engagement</w:t>
      </w:r>
    </w:p>
    <w:p w14:paraId="0C8816BE" w14:textId="77777777" w:rsidR="00400FAF" w:rsidRDefault="00000000">
      <w:pPr>
        <w:spacing w:after="20"/>
      </w:pPr>
      <w:r>
        <w:rPr>
          <w:i/>
          <w:iCs/>
          <w:color w:val="CBD5E0"/>
        </w:rPr>
        <w:t xml:space="preserve">How We Think About </w:t>
      </w:r>
      <w:proofErr w:type="gramStart"/>
      <w:r>
        <w:rPr>
          <w:i/>
          <w:iCs/>
          <w:color w:val="CBD5E0"/>
        </w:rPr>
        <w:t>It  +</w:t>
      </w:r>
      <w:proofErr w:type="gramEnd"/>
      <w:r>
        <w:rPr>
          <w:i/>
          <w:iCs/>
          <w:color w:val="CBD5E0"/>
        </w:rPr>
        <w:t xml:space="preserve">  How We Scope It</w:t>
      </w:r>
    </w:p>
    <w:p w14:paraId="0C8816BF" w14:textId="77777777" w:rsidR="00400FAF" w:rsidRDefault="00400FAF">
      <w:pPr>
        <w:pBdr>
          <w:bottom w:val="single" w:sz="6" w:space="8" w:color="2B6CB0"/>
        </w:pBdr>
        <w:spacing w:after="400"/>
      </w:pPr>
    </w:p>
    <w:p w14:paraId="0C8816C0" w14:textId="77777777" w:rsidR="00400FAF" w:rsidRDefault="00000000">
      <w:pPr>
        <w:spacing w:after="80"/>
      </w:pPr>
      <w:r>
        <w:rPr>
          <w:b/>
          <w:bCs/>
          <w:caps/>
          <w:color w:val="2B6CB0"/>
          <w:sz w:val="20"/>
          <w:szCs w:val="20"/>
        </w:rPr>
        <w:t>PART ONE</w:t>
      </w:r>
    </w:p>
    <w:p w14:paraId="0C8816C1" w14:textId="77777777" w:rsidR="00400FAF" w:rsidRDefault="00000000">
      <w:pPr>
        <w:spacing w:after="200"/>
      </w:pPr>
      <w:r>
        <w:rPr>
          <w:b/>
          <w:bCs/>
          <w:color w:val="2D3748"/>
          <w:sz w:val="36"/>
          <w:szCs w:val="36"/>
        </w:rPr>
        <w:t>The Logic: How We Think About This</w:t>
      </w:r>
    </w:p>
    <w:p w14:paraId="0C8816C2" w14:textId="77777777" w:rsidR="00400FAF" w:rsidRDefault="00000000">
      <w:pPr>
        <w:pStyle w:val="Heading2"/>
      </w:pPr>
      <w:r>
        <w:t>The Core Idea</w:t>
      </w:r>
    </w:p>
    <w:p w14:paraId="0C8816C3" w14:textId="77777777" w:rsidR="00400FAF" w:rsidRDefault="00000000">
      <w:pPr>
        <w:spacing w:after="160"/>
      </w:pPr>
      <w:r>
        <w:rPr>
          <w:color w:val="2D3748"/>
        </w:rPr>
        <w:t>We set up a Counter—a dedicated AI discovery environment—inside the foundation for six weeks. Teams and individuals come to us with their real problems, workarounds, and wish-list ideas. We listen, we explore what’s possible, and where it makes sense, we build something to show them.</w:t>
      </w:r>
    </w:p>
    <w:p w14:paraId="0C8816C4" w14:textId="77777777" w:rsidR="00400FAF" w:rsidRDefault="00000000">
      <w:pPr>
        <w:spacing w:after="160"/>
      </w:pPr>
      <w:r>
        <w:rPr>
          <w:color w:val="2D3748"/>
        </w:rPr>
        <w:t>The goal is not to ship production software. The goal is to show speed, show possibility, and generate a real picture of where AI can help across the organization. That picture becomes the foundation’s strategic input for deciding what to invest in, what to prioritize, and how to resource it.</w:t>
      </w:r>
    </w:p>
    <w:p w14:paraId="0C8816C5" w14:textId="77777777" w:rsidR="00400FAF" w:rsidRDefault="00000000">
      <w:pPr>
        <w:pStyle w:val="Heading2"/>
      </w:pPr>
      <w:r>
        <w:t>Two Modes of Engagement</w:t>
      </w:r>
    </w:p>
    <w:p w14:paraId="0C8816C6" w14:textId="77777777" w:rsidR="00400FAF" w:rsidRDefault="00000000">
      <w:pPr>
        <w:spacing w:after="160"/>
      </w:pPr>
      <w:r>
        <w:rPr>
          <w:color w:val="2D3748"/>
        </w:rPr>
        <w:t>Not everything that comes to the Counter gets built into a full prototype. That’s by design. The Counter operates in two modes:</w:t>
      </w:r>
    </w:p>
    <w:p w14:paraId="0C8816C7" w14:textId="7695D091" w:rsidR="00400FAF" w:rsidRDefault="00000000">
      <w:pPr>
        <w:spacing w:after="160"/>
      </w:pPr>
      <w:r>
        <w:rPr>
          <w:b/>
          <w:bCs/>
          <w:color w:val="2D3748"/>
        </w:rPr>
        <w:t xml:space="preserve">Open Sessions. </w:t>
      </w:r>
      <w:r>
        <w:rPr>
          <w:color w:val="2D3748"/>
        </w:rPr>
        <w:t>Anyone can walk up—individuals, pairs, whole teams. We have a discovery conversation: what’s your workflow, what’s painful, what do you wish you had? We explore what’s possible. We document everything. These sessions are lightweight (</w:t>
      </w:r>
      <w:r w:rsidR="004663BB">
        <w:rPr>
          <w:color w:val="2D3748"/>
        </w:rPr>
        <w:t>10</w:t>
      </w:r>
      <w:r>
        <w:rPr>
          <w:color w:val="2D3748"/>
        </w:rPr>
        <w:t>–60 minutes) and there’s no cap on them. That’s the point—we want to capture the full landscape of curiosity and need across the organization.</w:t>
      </w:r>
    </w:p>
    <w:p w14:paraId="0C8816C8" w14:textId="77777777" w:rsidR="00400FAF" w:rsidRDefault="00000000">
      <w:pPr>
        <w:spacing w:after="160"/>
      </w:pPr>
      <w:r>
        <w:rPr>
          <w:b/>
          <w:bCs/>
          <w:color w:val="2D3748"/>
        </w:rPr>
        <w:t xml:space="preserve">Build Sprints. </w:t>
      </w:r>
      <w:r>
        <w:rPr>
          <w:color w:val="2D3748"/>
        </w:rPr>
        <w:t xml:space="preserve">From the open sessions, we select a defined number of use cases to go deep on. These get a full build effort and a packaged </w:t>
      </w:r>
      <w:proofErr w:type="gramStart"/>
      <w:r>
        <w:rPr>
          <w:color w:val="2D3748"/>
        </w:rPr>
        <w:t>deliverable</w:t>
      </w:r>
      <w:proofErr w:type="gramEnd"/>
      <w:r>
        <w:rPr>
          <w:color w:val="2D3748"/>
        </w:rPr>
        <w:t xml:space="preserve"> (the AI Opportunity Brief). Selection is based on feasibility, potential impact, and whether the use case represents a pattern we’re seeing across the organization.</w:t>
      </w:r>
    </w:p>
    <w:p w14:paraId="0C8816C9" w14:textId="77777777" w:rsidR="00400FAF" w:rsidRDefault="00400F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FAF" w14:paraId="0C8816CB" w14:textId="77777777">
        <w:tblPrEx>
          <w:tblCellMar>
            <w:top w:w="0" w:type="dxa"/>
            <w:bottom w:w="0" w:type="dxa"/>
          </w:tblCellMar>
        </w:tblPrEx>
        <w:tc>
          <w:tcPr>
            <w:tcW w:w="9360" w:type="dxa"/>
            <w:tcBorders>
              <w:top w:val="single" w:sz="1" w:space="0" w:color="CBD5E0"/>
              <w:left w:val="single" w:sz="6" w:space="0" w:color="2B6CB0"/>
              <w:bottom w:val="single" w:sz="1" w:space="0" w:color="CBD5E0"/>
              <w:right w:val="single" w:sz="1" w:space="0" w:color="CBD5E0"/>
            </w:tcBorders>
            <w:shd w:val="clear" w:color="auto" w:fill="EBF4FA"/>
            <w:tcMar>
              <w:top w:w="140" w:type="dxa"/>
              <w:left w:w="200" w:type="dxa"/>
              <w:bottom w:w="140" w:type="dxa"/>
              <w:right w:w="200" w:type="dxa"/>
            </w:tcMar>
          </w:tcPr>
          <w:p w14:paraId="0C8816CA" w14:textId="77777777" w:rsidR="00400FAF" w:rsidRDefault="00000000">
            <w:r>
              <w:rPr>
                <w:i/>
                <w:iCs/>
                <w:color w:val="2D3748"/>
              </w:rPr>
              <w:t xml:space="preserve">The Counter is open to all. That’s a feature, not a liability. It’s where the culture shift happens—people see that AI is accessible, that their ideas are worth exploring. But the SOW commits us to a defined number of </w:t>
            </w:r>
            <w:proofErr w:type="gramStart"/>
            <w:r>
              <w:rPr>
                <w:i/>
                <w:iCs/>
                <w:color w:val="2D3748"/>
              </w:rPr>
              <w:t>builds</w:t>
            </w:r>
            <w:proofErr w:type="gramEnd"/>
            <w:r>
              <w:rPr>
                <w:i/>
                <w:iCs/>
                <w:color w:val="2D3748"/>
              </w:rPr>
              <w:t>, not an unlimited number.</w:t>
            </w:r>
          </w:p>
        </w:tc>
      </w:tr>
    </w:tbl>
    <w:p w14:paraId="0C8816CC" w14:textId="77777777" w:rsidR="00400FAF" w:rsidRDefault="00400FAF">
      <w:pPr>
        <w:spacing w:after="200"/>
      </w:pPr>
    </w:p>
    <w:p w14:paraId="0C8816CD" w14:textId="77777777" w:rsidR="00400FAF" w:rsidRDefault="00000000">
      <w:pPr>
        <w:pStyle w:val="Heading2"/>
      </w:pPr>
      <w:r>
        <w:t>Why Not Build Everything?</w:t>
      </w:r>
    </w:p>
    <w:p w14:paraId="0C8816CE" w14:textId="77777777" w:rsidR="00400FAF" w:rsidRDefault="00000000">
      <w:pPr>
        <w:spacing w:after="160"/>
      </w:pPr>
      <w:r>
        <w:rPr>
          <w:color w:val="2D3748"/>
        </w:rPr>
        <w:t xml:space="preserve">If 50 people come to the Counter, we can’t build 50 tools. But we can hear 50 ideas, and that data is incredibly valuable. The open sessions produce a Counter Log—a documented map of who came, what they asked about, and what the opportunity looks like. Leadership gets that log </w:t>
      </w:r>
      <w:r>
        <w:rPr>
          <w:color w:val="2D3748"/>
        </w:rPr>
        <w:lastRenderedPageBreak/>
        <w:t>alongside the briefs. It shows them not just what we built, but where curiosity and demand live across their teams.</w:t>
      </w:r>
    </w:p>
    <w:p w14:paraId="0C8816CF" w14:textId="77777777" w:rsidR="00400FAF" w:rsidRDefault="00000000">
      <w:pPr>
        <w:pStyle w:val="Heading2"/>
      </w:pPr>
      <w:r>
        <w:t>What Determines What Gets Built?</w:t>
      </w:r>
    </w:p>
    <w:p w14:paraId="0C8816D0" w14:textId="77777777" w:rsidR="00400FAF" w:rsidRDefault="00000000">
      <w:pPr>
        <w:spacing w:after="160"/>
      </w:pPr>
      <w:r>
        <w:rPr>
          <w:color w:val="2D3748"/>
        </w:rPr>
        <w:t>We make the call during or after discovery, based on a few factors:</w:t>
      </w:r>
    </w:p>
    <w:p w14:paraId="0C8816D1" w14:textId="77777777" w:rsidR="00400FAF" w:rsidRDefault="00000000">
      <w:pPr>
        <w:pStyle w:val="ListParagraph"/>
        <w:numPr>
          <w:ilvl w:val="0"/>
          <w:numId w:val="2"/>
        </w:numPr>
        <w:spacing w:after="100"/>
      </w:pPr>
      <w:r>
        <w:rPr>
          <w:color w:val="2D3748"/>
        </w:rPr>
        <w:t>Can we build something meaningful within the engagement window?</w:t>
      </w:r>
    </w:p>
    <w:p w14:paraId="0C8816D2" w14:textId="77777777" w:rsidR="00400FAF" w:rsidRDefault="00000000">
      <w:pPr>
        <w:pStyle w:val="ListParagraph"/>
        <w:numPr>
          <w:ilvl w:val="0"/>
          <w:numId w:val="2"/>
        </w:numPr>
        <w:spacing w:after="100"/>
      </w:pPr>
      <w:r>
        <w:rPr>
          <w:color w:val="2D3748"/>
        </w:rPr>
        <w:t>Does this represent a pattern we’re hearing from multiple people?</w:t>
      </w:r>
    </w:p>
    <w:p w14:paraId="0C8816D3" w14:textId="77777777" w:rsidR="00400FAF" w:rsidRDefault="00000000">
      <w:pPr>
        <w:pStyle w:val="ListParagraph"/>
        <w:numPr>
          <w:ilvl w:val="0"/>
          <w:numId w:val="2"/>
        </w:numPr>
        <w:spacing w:after="100"/>
      </w:pPr>
      <w:r>
        <w:rPr>
          <w:color w:val="2D3748"/>
        </w:rPr>
        <w:t>Does it cover a different part of the organization than what we’ve already selected?</w:t>
      </w:r>
    </w:p>
    <w:p w14:paraId="0C8816D4" w14:textId="77777777" w:rsidR="00400FAF" w:rsidRDefault="00000000">
      <w:pPr>
        <w:pStyle w:val="ListParagraph"/>
        <w:numPr>
          <w:ilvl w:val="0"/>
          <w:numId w:val="2"/>
        </w:numPr>
        <w:spacing w:after="100"/>
      </w:pPr>
      <w:r>
        <w:rPr>
          <w:color w:val="2D3748"/>
        </w:rPr>
        <w:t>Is it strategically relevant to what leadership cares about?</w:t>
      </w:r>
    </w:p>
    <w:p w14:paraId="0C8816D5" w14:textId="77777777" w:rsidR="00400FAF" w:rsidRDefault="00000000">
      <w:pPr>
        <w:pStyle w:val="ListParagraph"/>
        <w:numPr>
          <w:ilvl w:val="0"/>
          <w:numId w:val="2"/>
        </w:numPr>
        <w:spacing w:after="200"/>
      </w:pPr>
      <w:r>
        <w:rPr>
          <w:color w:val="2D3748"/>
        </w:rPr>
        <w:t>Is it standalone, or does it require deep integration with systems we can’t access?</w:t>
      </w:r>
    </w:p>
    <w:p w14:paraId="0C8816D6" w14:textId="77777777" w:rsidR="00400FAF" w:rsidRDefault="00000000">
      <w:pPr>
        <w:spacing w:after="160"/>
      </w:pPr>
      <w:r>
        <w:rPr>
          <w:color w:val="2D3748"/>
        </w:rPr>
        <w:t xml:space="preserve">That last question feeds directly into the tier system, which determines what the build component </w:t>
      </w:r>
      <w:proofErr w:type="gramStart"/>
      <w:r>
        <w:rPr>
          <w:color w:val="2D3748"/>
        </w:rPr>
        <w:t>actually looks</w:t>
      </w:r>
      <w:proofErr w:type="gramEnd"/>
      <w:r>
        <w:rPr>
          <w:color w:val="2D3748"/>
        </w:rPr>
        <w:t xml:space="preserve"> like.</w:t>
      </w:r>
    </w:p>
    <w:p w14:paraId="0C8816D7" w14:textId="77777777" w:rsidR="00400FAF" w:rsidRDefault="00000000">
      <w:pPr>
        <w:pStyle w:val="Heading2"/>
      </w:pPr>
      <w:r>
        <w:t>The Three Tiers</w:t>
      </w:r>
    </w:p>
    <w:p w14:paraId="0C8816D8" w14:textId="77777777" w:rsidR="00400FAF" w:rsidRDefault="00000000">
      <w:pPr>
        <w:spacing w:after="160"/>
      </w:pPr>
      <w:r>
        <w:rPr>
          <w:color w:val="2D3748"/>
        </w:rPr>
        <w:t xml:space="preserve">Not all </w:t>
      </w:r>
      <w:proofErr w:type="gramStart"/>
      <w:r>
        <w:rPr>
          <w:color w:val="2D3748"/>
        </w:rPr>
        <w:t>builds</w:t>
      </w:r>
      <w:proofErr w:type="gramEnd"/>
      <w:r>
        <w:rPr>
          <w:color w:val="2D3748"/>
        </w:rPr>
        <w:t xml:space="preserve"> are equal. Some things can be fully built and handed over working. Others need to be visualized or scoped because they depend on systems and decisions outside our reach. We define three tiers:</w:t>
      </w:r>
    </w:p>
    <w:p w14:paraId="0C8816D9" w14:textId="77777777" w:rsidR="00400FAF" w:rsidRDefault="00000000">
      <w:pPr>
        <w:spacing w:after="160"/>
      </w:pPr>
      <w:r>
        <w:rPr>
          <w:b/>
          <w:bCs/>
          <w:color w:val="2D3748"/>
        </w:rPr>
        <w:t xml:space="preserve">Tier 1 – Functional Tool. </w:t>
      </w:r>
      <w:r>
        <w:rPr>
          <w:color w:val="2D3748"/>
        </w:rPr>
        <w:t>Self-contained. Doesn’t plug into their existing systems. We build it, it works, they can use it. Think: a standalone calculator, a decision-support tool, a content generator tailored to their process.</w:t>
      </w:r>
    </w:p>
    <w:p w14:paraId="0C8816DA" w14:textId="77777777" w:rsidR="00400FAF" w:rsidRDefault="00000000">
      <w:pPr>
        <w:spacing w:after="160"/>
      </w:pPr>
      <w:r>
        <w:rPr>
          <w:b/>
          <w:bCs/>
          <w:color w:val="2D3748"/>
        </w:rPr>
        <w:t xml:space="preserve">Tier 2 – Interactive Demonstration. </w:t>
      </w:r>
      <w:r>
        <w:rPr>
          <w:color w:val="2D3748"/>
        </w:rPr>
        <w:t xml:space="preserve">The idea involves existing platforms or data we can’t access. We build something that shows what the experience would look like with representative data. Real enough to validate the concept and communicate it to </w:t>
      </w:r>
      <w:proofErr w:type="gramStart"/>
      <w:r>
        <w:rPr>
          <w:color w:val="2D3748"/>
        </w:rPr>
        <w:t>leadership, but</w:t>
      </w:r>
      <w:proofErr w:type="gramEnd"/>
      <w:r>
        <w:rPr>
          <w:color w:val="2D3748"/>
        </w:rPr>
        <w:t xml:space="preserve"> not wired into their infrastructure. Think: visualizing what an AI-powered feed into ServiceNow would do.</w:t>
      </w:r>
    </w:p>
    <w:p w14:paraId="0C8816DB" w14:textId="77777777" w:rsidR="00400FAF" w:rsidRDefault="00000000">
      <w:pPr>
        <w:spacing w:after="160"/>
      </w:pPr>
      <w:r>
        <w:rPr>
          <w:b/>
          <w:bCs/>
          <w:color w:val="2D3748"/>
        </w:rPr>
        <w:t xml:space="preserve">Tier 3 – Documented Concept. </w:t>
      </w:r>
      <w:r>
        <w:rPr>
          <w:color w:val="2D3748"/>
        </w:rPr>
        <w:t>The use case is complex, multi-system, or requires organizational decisions before building makes sense. We map the workflow, define the logic, and scope what implementation would require. It’s a blueprint. Think: a multi-system automation pipeline that needs vendor and policy decisions first.</w:t>
      </w:r>
    </w:p>
    <w:p w14:paraId="0C8816DC" w14:textId="77777777" w:rsidR="00400FAF" w:rsidRDefault="00400F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0FAF" w14:paraId="0C8816DE" w14:textId="77777777">
        <w:tblPrEx>
          <w:tblCellMar>
            <w:top w:w="0" w:type="dxa"/>
            <w:bottom w:w="0" w:type="dxa"/>
          </w:tblCellMar>
        </w:tblPrEx>
        <w:tc>
          <w:tcPr>
            <w:tcW w:w="9360" w:type="dxa"/>
            <w:tcBorders>
              <w:top w:val="single" w:sz="1" w:space="0" w:color="CBD5E0"/>
              <w:left w:val="single" w:sz="6" w:space="0" w:color="2B6CB0"/>
              <w:bottom w:val="single" w:sz="1" w:space="0" w:color="CBD5E0"/>
              <w:right w:val="single" w:sz="1" w:space="0" w:color="CBD5E0"/>
            </w:tcBorders>
            <w:shd w:val="clear" w:color="auto" w:fill="EBF4FA"/>
            <w:tcMar>
              <w:top w:w="140" w:type="dxa"/>
              <w:left w:w="200" w:type="dxa"/>
              <w:bottom w:w="140" w:type="dxa"/>
              <w:right w:w="200" w:type="dxa"/>
            </w:tcMar>
          </w:tcPr>
          <w:p w14:paraId="0C8816DD" w14:textId="77777777" w:rsidR="00400FAF" w:rsidRDefault="00000000">
            <w:r>
              <w:rPr>
                <w:i/>
                <w:iCs/>
                <w:color w:val="2D3748"/>
              </w:rPr>
              <w:t xml:space="preserve">We determine the tier. That’s in </w:t>
            </w:r>
            <w:proofErr w:type="gramStart"/>
            <w:r>
              <w:rPr>
                <w:i/>
                <w:iCs/>
                <w:color w:val="2D3748"/>
              </w:rPr>
              <w:t>the SOW</w:t>
            </w:r>
            <w:proofErr w:type="gramEnd"/>
            <w:r>
              <w:rPr>
                <w:i/>
                <w:iCs/>
                <w:color w:val="2D3748"/>
              </w:rPr>
              <w:t>. This is the main protection: nobody can claim we owed them a working ServiceNow integration, because the SOW defines when that’s off the table and why.</w:t>
            </w:r>
          </w:p>
        </w:tc>
      </w:tr>
    </w:tbl>
    <w:p w14:paraId="0C8816DF" w14:textId="77777777" w:rsidR="00400FAF" w:rsidRDefault="00400FAF">
      <w:pPr>
        <w:spacing w:after="200"/>
      </w:pPr>
    </w:p>
    <w:p w14:paraId="0C8816E0" w14:textId="77777777" w:rsidR="00400FAF" w:rsidRDefault="00000000">
      <w:pPr>
        <w:pStyle w:val="Heading2"/>
      </w:pPr>
      <w:r>
        <w:t>What We’re Actually Delivering</w:t>
      </w:r>
    </w:p>
    <w:p w14:paraId="0C8816E1" w14:textId="77777777" w:rsidR="00400FAF" w:rsidRDefault="00000000">
      <w:pPr>
        <w:spacing w:after="160"/>
      </w:pPr>
      <w:r>
        <w:rPr>
          <w:color w:val="2D3748"/>
        </w:rPr>
        <w:t>There are tangible deliverables and intangible outcomes. The SOW covers the tangible. The intangible is the real story.</w:t>
      </w:r>
    </w:p>
    <w:p w14:paraId="0C8816E2" w14:textId="77777777" w:rsidR="00400FAF" w:rsidRDefault="00000000">
      <w:pPr>
        <w:spacing w:after="160"/>
      </w:pPr>
      <w:r>
        <w:rPr>
          <w:b/>
          <w:bCs/>
          <w:color w:val="2D3748"/>
        </w:rPr>
        <w:t xml:space="preserve">Tangible: </w:t>
      </w:r>
      <w:r>
        <w:rPr>
          <w:color w:val="2D3748"/>
        </w:rPr>
        <w:t>A Counter Log documenting every interaction. A set of AI Opportunity Briefs for the use cases we built on. A leadership portfolio that synthesizes everything into strategic recommendations.</w:t>
      </w:r>
    </w:p>
    <w:p w14:paraId="0C8816E3" w14:textId="77777777" w:rsidR="00400FAF" w:rsidRDefault="00000000">
      <w:pPr>
        <w:spacing w:after="160"/>
      </w:pPr>
      <w:r>
        <w:rPr>
          <w:b/>
          <w:bCs/>
          <w:color w:val="2D3748"/>
        </w:rPr>
        <w:lastRenderedPageBreak/>
        <w:t xml:space="preserve">Intangible: </w:t>
      </w:r>
      <w:r>
        <w:rPr>
          <w:color w:val="2D3748"/>
        </w:rPr>
        <w:t>People across the organization see what AI can do for their specific work. Curiosity gets surfaced and documented. The conversation shifts from abstract (“should we use AI?”) to concrete (“here’s what we could build and here’s what it would take”). That’s the culture and mindset shift—and it starts at the Counter.</w:t>
      </w:r>
    </w:p>
    <w:p w14:paraId="0C8816E4" w14:textId="77777777" w:rsidR="00400FAF" w:rsidRDefault="00000000">
      <w:r>
        <w:br w:type="page"/>
      </w:r>
    </w:p>
    <w:p w14:paraId="0C8816E5" w14:textId="77777777" w:rsidR="00400FAF" w:rsidRDefault="00000000">
      <w:pPr>
        <w:spacing w:after="80"/>
      </w:pPr>
      <w:r>
        <w:rPr>
          <w:b/>
          <w:bCs/>
          <w:caps/>
          <w:color w:val="2B6CB0"/>
          <w:sz w:val="20"/>
          <w:szCs w:val="20"/>
        </w:rPr>
        <w:lastRenderedPageBreak/>
        <w:t>PART TWO</w:t>
      </w:r>
    </w:p>
    <w:p w14:paraId="0C8816E6" w14:textId="77777777" w:rsidR="00400FAF" w:rsidRDefault="00000000">
      <w:pPr>
        <w:spacing w:after="200"/>
      </w:pPr>
      <w:r>
        <w:rPr>
          <w:b/>
          <w:bCs/>
          <w:color w:val="2D3748"/>
          <w:sz w:val="36"/>
          <w:szCs w:val="36"/>
        </w:rPr>
        <w:t xml:space="preserve">The Language: How This Shows Up in </w:t>
      </w:r>
      <w:proofErr w:type="gramStart"/>
      <w:r>
        <w:rPr>
          <w:b/>
          <w:bCs/>
          <w:color w:val="2D3748"/>
          <w:sz w:val="36"/>
          <w:szCs w:val="36"/>
        </w:rPr>
        <w:t>an</w:t>
      </w:r>
      <w:proofErr w:type="gramEnd"/>
      <w:r>
        <w:rPr>
          <w:b/>
          <w:bCs/>
          <w:color w:val="2D3748"/>
          <w:sz w:val="36"/>
          <w:szCs w:val="36"/>
        </w:rPr>
        <w:t xml:space="preserve"> SOW</w:t>
      </w:r>
    </w:p>
    <w:p w14:paraId="0C8816E7" w14:textId="77777777" w:rsidR="00400FAF" w:rsidRDefault="00000000">
      <w:pPr>
        <w:spacing w:after="300"/>
      </w:pPr>
      <w:r>
        <w:rPr>
          <w:color w:val="2D3748"/>
        </w:rPr>
        <w:t>Below is how the same logic would be articulated in formal scope-of-work language. This is the version that protects us, sets expectations, and defines what the client is paying for.</w:t>
      </w:r>
    </w:p>
    <w:p w14:paraId="0C8816E8" w14:textId="77777777" w:rsidR="00400FAF" w:rsidRDefault="00000000">
      <w:pPr>
        <w:pStyle w:val="Heading1"/>
      </w:pPr>
      <w:r>
        <w:t>1. Purpose</w:t>
      </w:r>
    </w:p>
    <w:p w14:paraId="0C8816E9" w14:textId="77777777" w:rsidR="00400FAF" w:rsidRDefault="00000000">
      <w:pPr>
        <w:spacing w:after="160"/>
      </w:pPr>
      <w:r>
        <w:rPr>
          <w:color w:val="2D3748"/>
        </w:rPr>
        <w:t>The Provider will establish a dedicated AI Discovery environment (the “Counter”) within the Client’s organization for a period of six (6) weeks. The Counter serves as a structured intake point where staff members—individually or as teams—can surface operational needs, explore AI-enabled solutions, and receive tangible artifacts that demonstrate what is possible and define what further investment would require.</w:t>
      </w:r>
    </w:p>
    <w:p w14:paraId="0C8816EA" w14:textId="77777777" w:rsidR="00400FAF" w:rsidRDefault="00000000">
      <w:pPr>
        <w:spacing w:after="160"/>
      </w:pPr>
      <w:r>
        <w:rPr>
          <w:color w:val="2D3748"/>
        </w:rPr>
        <w:t>This engagement is designed to generate actionable strategic input for foundation leadership by identifying, prototyping, and documenting AI opportunities across the organization.</w:t>
      </w:r>
    </w:p>
    <w:p w14:paraId="0C8816EB" w14:textId="77777777" w:rsidR="00400FAF" w:rsidRDefault="00000000">
      <w:pPr>
        <w:pStyle w:val="Heading1"/>
      </w:pPr>
      <w:r>
        <w:t>2. Scope of Services</w:t>
      </w:r>
    </w:p>
    <w:p w14:paraId="0C8816EC" w14:textId="77777777" w:rsidR="00400FAF" w:rsidRDefault="00000000">
      <w:pPr>
        <w:spacing w:after="160"/>
      </w:pPr>
      <w:r>
        <w:rPr>
          <w:color w:val="2D3748"/>
        </w:rPr>
        <w:t>The engagement is delivered in three phases:</w:t>
      </w:r>
    </w:p>
    <w:p w14:paraId="0C8816ED" w14:textId="77777777" w:rsidR="00400FAF" w:rsidRDefault="00000000">
      <w:pPr>
        <w:pStyle w:val="Heading2"/>
      </w:pPr>
      <w:r>
        <w:t>Phase 1: Counter Setup and Intake Design</w:t>
      </w:r>
    </w:p>
    <w:p w14:paraId="0C8816EE" w14:textId="77777777" w:rsidR="00400FAF" w:rsidRDefault="00000000">
      <w:pPr>
        <w:spacing w:after="160"/>
      </w:pPr>
      <w:r>
        <w:rPr>
          <w:color w:val="2D3748"/>
        </w:rPr>
        <w:t>The Provider will configure the Counter environment, including tools, frameworks, and templates for conducting rapid discovery and build sessions. The Provider will also design the intake process used to capture participant needs, constraints, and workflows.</w:t>
      </w:r>
    </w:p>
    <w:p w14:paraId="0C8816EF" w14:textId="77777777" w:rsidR="00400FAF" w:rsidRDefault="00000000">
      <w:pPr>
        <w:pStyle w:val="Heading2"/>
      </w:pPr>
      <w:r>
        <w:t>Phase 2: Discovery and Build</w:t>
      </w:r>
    </w:p>
    <w:p w14:paraId="0C8816F0" w14:textId="77777777" w:rsidR="00400FAF" w:rsidRDefault="00000000">
      <w:pPr>
        <w:spacing w:after="160"/>
      </w:pPr>
      <w:r>
        <w:rPr>
          <w:color w:val="2D3748"/>
        </w:rPr>
        <w:t>The Provider will conduct two categories of engagement during on-site days:</w:t>
      </w:r>
    </w:p>
    <w:p w14:paraId="0C8816F1" w14:textId="77777777" w:rsidR="00400FAF" w:rsidRDefault="00000000">
      <w:pPr>
        <w:spacing w:after="160"/>
      </w:pPr>
      <w:r>
        <w:rPr>
          <w:b/>
          <w:bCs/>
          <w:color w:val="2D3748"/>
        </w:rPr>
        <w:t xml:space="preserve">Open Discovery Sessions. </w:t>
      </w:r>
      <w:r>
        <w:rPr>
          <w:color w:val="2D3748"/>
        </w:rPr>
        <w:t xml:space="preserve">Available to any staff member. Each session consists of a structured conversation to understand the participant’s workflow, challenges, and opportunities. All sessions are documented in a Counter Log. There is no fixed limit on the number of open sessions </w:t>
      </w:r>
      <w:proofErr w:type="gramStart"/>
      <w:r>
        <w:rPr>
          <w:color w:val="2D3748"/>
        </w:rPr>
        <w:t>conducted during</w:t>
      </w:r>
      <w:proofErr w:type="gramEnd"/>
      <w:r>
        <w:rPr>
          <w:color w:val="2D3748"/>
        </w:rPr>
        <w:t xml:space="preserve"> on-site days.</w:t>
      </w:r>
    </w:p>
    <w:p w14:paraId="0C8816F2" w14:textId="77777777" w:rsidR="00400FAF" w:rsidRDefault="00000000">
      <w:pPr>
        <w:spacing w:after="160"/>
      </w:pPr>
      <w:r>
        <w:rPr>
          <w:b/>
          <w:bCs/>
          <w:color w:val="2D3748"/>
        </w:rPr>
        <w:t xml:space="preserve">Build Engagements. </w:t>
      </w:r>
      <w:r>
        <w:rPr>
          <w:color w:val="2D3748"/>
        </w:rPr>
        <w:t>From the pool of open sessions, the Provider will select up to [X] use cases for full build efforts, each producing an AI Opportunity Brief as defined in Section 4. Selection is at the Provider’s discretion, based on technical feasibility within the engagement window, potential organizational impact, and representativeness across the Client’s operational landscape.</w:t>
      </w:r>
    </w:p>
    <w:p w14:paraId="0C8816F3" w14:textId="77777777" w:rsidR="00400FAF" w:rsidRDefault="00000000">
      <w:pPr>
        <w:pStyle w:val="Heading2"/>
      </w:pPr>
      <w:r>
        <w:t>Phase 3: Leadership Synthesis</w:t>
      </w:r>
    </w:p>
    <w:p w14:paraId="0C8816F4" w14:textId="77777777" w:rsidR="00400FAF" w:rsidRDefault="00000000">
      <w:pPr>
        <w:spacing w:after="160"/>
      </w:pPr>
      <w:r>
        <w:rPr>
          <w:color w:val="2D3748"/>
        </w:rPr>
        <w:t>The Provider will compile all findings—both the Counter Log and the AI Opportunity Briefs—into a consolidated portfolio and present a summary to foundation leadership. This summary will map identified opportunities, highlight cross-team patterns, and provide prioritization recommendations.</w:t>
      </w:r>
    </w:p>
    <w:p w14:paraId="0C8816F5" w14:textId="77777777" w:rsidR="00400FAF" w:rsidRDefault="00000000">
      <w:pPr>
        <w:pStyle w:val="Heading1"/>
      </w:pPr>
      <w:r>
        <w:t>3. Deliverable Complexity Tiers</w:t>
      </w:r>
    </w:p>
    <w:p w14:paraId="0C8816F6" w14:textId="77777777" w:rsidR="00400FAF" w:rsidRDefault="00000000">
      <w:pPr>
        <w:spacing w:after="160"/>
      </w:pPr>
      <w:r>
        <w:rPr>
          <w:color w:val="2D3748"/>
        </w:rPr>
        <w:lastRenderedPageBreak/>
        <w:t>The build component of each AI Opportunity Brief is classified into one of three tiers based on technical complexity and integration requirements. Tier classification is determined by the Provider during the discovery process.</w:t>
      </w:r>
    </w:p>
    <w:p w14:paraId="0C8816F7" w14:textId="77777777" w:rsidR="00400FAF" w:rsidRDefault="00400FA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400FAF" w14:paraId="0C8816FB"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2B6CB0"/>
            <w:tcMar>
              <w:top w:w="100" w:type="dxa"/>
              <w:left w:w="150" w:type="dxa"/>
              <w:bottom w:w="100" w:type="dxa"/>
              <w:right w:w="150" w:type="dxa"/>
            </w:tcMar>
          </w:tcPr>
          <w:p w14:paraId="0C8816F8" w14:textId="77777777" w:rsidR="00400FAF" w:rsidRDefault="00000000">
            <w:pPr>
              <w:jc w:val="center"/>
            </w:pPr>
            <w:r>
              <w:rPr>
                <w:b/>
                <w:bCs/>
                <w:color w:val="FFFFFF"/>
              </w:rPr>
              <w:t>Tier</w:t>
            </w:r>
          </w:p>
        </w:tc>
        <w:tc>
          <w:tcPr>
            <w:tcW w:w="2200" w:type="dxa"/>
            <w:tcBorders>
              <w:top w:val="single" w:sz="1" w:space="0" w:color="CBD5E0"/>
              <w:left w:val="single" w:sz="1" w:space="0" w:color="CBD5E0"/>
              <w:bottom w:val="single" w:sz="1" w:space="0" w:color="CBD5E0"/>
              <w:right w:val="single" w:sz="1" w:space="0" w:color="CBD5E0"/>
            </w:tcBorders>
            <w:shd w:val="clear" w:color="auto" w:fill="2B6CB0"/>
            <w:tcMar>
              <w:top w:w="100" w:type="dxa"/>
              <w:left w:w="150" w:type="dxa"/>
              <w:bottom w:w="100" w:type="dxa"/>
              <w:right w:w="150" w:type="dxa"/>
            </w:tcMar>
          </w:tcPr>
          <w:p w14:paraId="0C8816F9" w14:textId="77777777" w:rsidR="00400FAF" w:rsidRDefault="00000000">
            <w:r>
              <w:rPr>
                <w:b/>
                <w:bCs/>
                <w:color w:val="FFFFFF"/>
              </w:rPr>
              <w:t>Classification</w:t>
            </w:r>
          </w:p>
        </w:tc>
        <w:tc>
          <w:tcPr>
            <w:tcW w:w="5760" w:type="dxa"/>
            <w:tcBorders>
              <w:top w:val="single" w:sz="1" w:space="0" w:color="CBD5E0"/>
              <w:left w:val="single" w:sz="1" w:space="0" w:color="CBD5E0"/>
              <w:bottom w:val="single" w:sz="1" w:space="0" w:color="CBD5E0"/>
              <w:right w:val="single" w:sz="1" w:space="0" w:color="CBD5E0"/>
            </w:tcBorders>
            <w:shd w:val="clear" w:color="auto" w:fill="2B6CB0"/>
            <w:tcMar>
              <w:top w:w="100" w:type="dxa"/>
              <w:left w:w="150" w:type="dxa"/>
              <w:bottom w:w="100" w:type="dxa"/>
              <w:right w:w="150" w:type="dxa"/>
            </w:tcMar>
          </w:tcPr>
          <w:p w14:paraId="0C8816FA" w14:textId="77777777" w:rsidR="00400FAF" w:rsidRDefault="00000000">
            <w:r>
              <w:rPr>
                <w:color w:val="FFFFFF"/>
              </w:rPr>
              <w:t>Description</w:t>
            </w:r>
          </w:p>
        </w:tc>
      </w:tr>
      <w:tr w:rsidR="00400FAF" w14:paraId="0C8816FF"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6FC" w14:textId="77777777" w:rsidR="00400FAF" w:rsidRDefault="00000000">
            <w:pPr>
              <w:jc w:val="center"/>
            </w:pPr>
            <w:r>
              <w:rPr>
                <w:b/>
                <w:bCs/>
                <w:color w:val="2D3748"/>
              </w:rPr>
              <w:t>1</w:t>
            </w:r>
          </w:p>
        </w:tc>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6FD" w14:textId="77777777" w:rsidR="00400FAF" w:rsidRDefault="00000000">
            <w:r>
              <w:rPr>
                <w:color w:val="2D3748"/>
              </w:rPr>
              <w:t>Functional Tool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6FE" w14:textId="77777777" w:rsidR="00400FAF" w:rsidRDefault="00000000">
            <w:r>
              <w:rPr>
                <w:color w:val="2D3748"/>
              </w:rPr>
              <w:t>Self-contained; does not require integration with the Client’s existing platforms or infrastructure. Delivered as a working tool the team can use immediately or with minimal configuration.</w:t>
            </w:r>
          </w:p>
        </w:tc>
      </w:tr>
      <w:tr w:rsidR="00400FAF" w14:paraId="0C881703"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700" w14:textId="77777777" w:rsidR="00400FAF" w:rsidRDefault="00000000">
            <w:pPr>
              <w:jc w:val="center"/>
            </w:pPr>
            <w:r>
              <w:rPr>
                <w:b/>
                <w:bCs/>
                <w:color w:val="2D3748"/>
              </w:rPr>
              <w:t>2</w:t>
            </w:r>
          </w:p>
        </w:tc>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701" w14:textId="77777777" w:rsidR="00400FAF" w:rsidRDefault="00000000">
            <w:r>
              <w:rPr>
                <w:color w:val="2D3748"/>
              </w:rPr>
              <w:t>Interactive Demonstration</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702" w14:textId="77777777" w:rsidR="00400FAF" w:rsidRDefault="00000000">
            <w:r>
              <w:rPr>
                <w:color w:val="2D3748"/>
              </w:rPr>
              <w:t>Involves existing systems or data sources the Provider cannot access or modify. Delivered as an interactive prototype using representative data, designed to validate the concept and communicate the opportunity to leadership.</w:t>
            </w:r>
          </w:p>
        </w:tc>
      </w:tr>
      <w:tr w:rsidR="00400FAF" w14:paraId="0C881707"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704" w14:textId="77777777" w:rsidR="00400FAF" w:rsidRDefault="00000000">
            <w:pPr>
              <w:jc w:val="center"/>
            </w:pPr>
            <w:r>
              <w:rPr>
                <w:b/>
                <w:bCs/>
                <w:color w:val="2D3748"/>
              </w:rPr>
              <w:t>3</w:t>
            </w:r>
          </w:p>
        </w:tc>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705" w14:textId="77777777" w:rsidR="00400FAF" w:rsidRDefault="00000000">
            <w:r>
              <w:rPr>
                <w:color w:val="2D3748"/>
              </w:rPr>
              <w:t>Documented Concept</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50" w:type="dxa"/>
              <w:bottom w:w="100" w:type="dxa"/>
              <w:right w:w="150" w:type="dxa"/>
            </w:tcMar>
          </w:tcPr>
          <w:p w14:paraId="0C881706" w14:textId="77777777" w:rsidR="00400FAF" w:rsidRDefault="00000000">
            <w:r>
              <w:rPr>
                <w:color w:val="2D3748"/>
              </w:rPr>
              <w:t xml:space="preserve">Complex, multi-system, or </w:t>
            </w:r>
            <w:proofErr w:type="gramStart"/>
            <w:r>
              <w:rPr>
                <w:color w:val="2D3748"/>
              </w:rPr>
              <w:t>requires</w:t>
            </w:r>
            <w:proofErr w:type="gramEnd"/>
            <w:r>
              <w:rPr>
                <w:color w:val="2D3748"/>
              </w:rPr>
              <w:t xml:space="preserve"> organizational decisions before building is appropriate. Delivered as a documented workflow, logic map, and implementation scope to serve as a blueprint for future development.</w:t>
            </w:r>
          </w:p>
        </w:tc>
      </w:tr>
    </w:tbl>
    <w:p w14:paraId="0C881708" w14:textId="77777777" w:rsidR="00400FAF" w:rsidRDefault="00400FAF">
      <w:pPr>
        <w:spacing w:after="200"/>
      </w:pPr>
    </w:p>
    <w:p w14:paraId="0C881709" w14:textId="77777777" w:rsidR="00400FAF" w:rsidRDefault="00000000">
      <w:pPr>
        <w:pStyle w:val="Heading1"/>
      </w:pPr>
      <w:r>
        <w:t>4. Deliverables</w:t>
      </w:r>
    </w:p>
    <w:p w14:paraId="0C88170A" w14:textId="77777777" w:rsidR="00400FAF" w:rsidRDefault="00000000">
      <w:pPr>
        <w:spacing w:after="160"/>
      </w:pPr>
      <w:r>
        <w:rPr>
          <w:color w:val="2D3748"/>
        </w:rPr>
        <w:t>The engagement produces three categories of deliverables:</w:t>
      </w:r>
    </w:p>
    <w:p w14:paraId="0C88170B" w14:textId="77777777" w:rsidR="00400FAF" w:rsidRDefault="00000000">
      <w:pPr>
        <w:spacing w:after="160"/>
      </w:pPr>
      <w:r>
        <w:rPr>
          <w:b/>
          <w:bCs/>
          <w:color w:val="2D3748"/>
        </w:rPr>
        <w:t xml:space="preserve">Counter Log. </w:t>
      </w:r>
      <w:r>
        <w:rPr>
          <w:color w:val="2D3748"/>
        </w:rPr>
        <w:t>A documented record of all open discovery sessions conducted during the engagement, capturing participant information, workflow context, identified needs, and preliminary opportunity assessments. Delivered as a single compiled document.</w:t>
      </w:r>
    </w:p>
    <w:p w14:paraId="0C88170C" w14:textId="77777777" w:rsidR="00400FAF" w:rsidRDefault="00000000">
      <w:pPr>
        <w:spacing w:after="160"/>
      </w:pPr>
      <w:r>
        <w:rPr>
          <w:b/>
          <w:bCs/>
          <w:color w:val="2D3748"/>
        </w:rPr>
        <w:t xml:space="preserve">AI Opportunity Briefs. </w:t>
      </w:r>
      <w:r>
        <w:rPr>
          <w:color w:val="2D3748"/>
        </w:rPr>
        <w:t>Up to [X] structured reports, one per build engagement. Each Brief contains: a problem statement articulating the team or individual’s need; the build artifact (functional tool, interactive demonstration, or documented concept, per tier); a technical assessment of what was built and any dependencies or limitations; and a path-forward recommendation including estimated effort and strategic alignment.</w:t>
      </w:r>
    </w:p>
    <w:p w14:paraId="0C88170D" w14:textId="77777777" w:rsidR="00400FAF" w:rsidRDefault="00000000">
      <w:pPr>
        <w:spacing w:after="160"/>
      </w:pPr>
      <w:r>
        <w:rPr>
          <w:b/>
          <w:bCs/>
          <w:color w:val="2D3748"/>
        </w:rPr>
        <w:t xml:space="preserve">Leadership Portfolio. </w:t>
      </w:r>
      <w:r>
        <w:rPr>
          <w:color w:val="2D3748"/>
        </w:rPr>
        <w:t>A consolidated synthesis of all Counter Log entries and AI Opportunity Briefs, presented to foundation leadership with cross-team analysis and prioritization recommendations.</w:t>
      </w:r>
    </w:p>
    <w:p w14:paraId="0C88170E" w14:textId="77777777" w:rsidR="00400FAF" w:rsidRDefault="00000000">
      <w:pPr>
        <w:pStyle w:val="Heading1"/>
      </w:pPr>
      <w:r>
        <w:t>5. Exclusions</w:t>
      </w:r>
    </w:p>
    <w:p w14:paraId="0C88170F" w14:textId="77777777" w:rsidR="00400FAF" w:rsidRDefault="00000000">
      <w:pPr>
        <w:spacing w:after="160"/>
      </w:pPr>
      <w:r>
        <w:rPr>
          <w:color w:val="2D3748"/>
        </w:rPr>
        <w:t>The following are explicitly outside the scope of this engagement:</w:t>
      </w:r>
    </w:p>
    <w:p w14:paraId="0C881710" w14:textId="77777777" w:rsidR="00400FAF" w:rsidRDefault="00000000">
      <w:pPr>
        <w:pStyle w:val="ListParagraph"/>
        <w:numPr>
          <w:ilvl w:val="0"/>
          <w:numId w:val="2"/>
        </w:numPr>
        <w:spacing w:after="100"/>
      </w:pPr>
      <w:r>
        <w:rPr>
          <w:color w:val="2D3748"/>
        </w:rPr>
        <w:t>Integration with or modification of the Client’s existing production systems, platforms, databases, or infrastructure.</w:t>
      </w:r>
    </w:p>
    <w:p w14:paraId="0C881711" w14:textId="77777777" w:rsidR="00400FAF" w:rsidRDefault="00000000">
      <w:pPr>
        <w:pStyle w:val="ListParagraph"/>
        <w:numPr>
          <w:ilvl w:val="0"/>
          <w:numId w:val="2"/>
        </w:numPr>
        <w:spacing w:after="100"/>
      </w:pPr>
      <w:r>
        <w:rPr>
          <w:color w:val="2D3748"/>
        </w:rPr>
        <w:t>Development of production-ready software, including security hardening, compliance review, or deployment to live environments.</w:t>
      </w:r>
    </w:p>
    <w:p w14:paraId="0C881712" w14:textId="77777777" w:rsidR="00400FAF" w:rsidRDefault="00000000">
      <w:pPr>
        <w:pStyle w:val="ListParagraph"/>
        <w:numPr>
          <w:ilvl w:val="0"/>
          <w:numId w:val="2"/>
        </w:numPr>
        <w:spacing w:after="100"/>
      </w:pPr>
      <w:r>
        <w:rPr>
          <w:color w:val="2D3748"/>
        </w:rPr>
        <w:lastRenderedPageBreak/>
        <w:t>Ongoing maintenance, support, or iteration on deliverables beyond the engagement window.</w:t>
      </w:r>
    </w:p>
    <w:p w14:paraId="0C881713" w14:textId="77777777" w:rsidR="00400FAF" w:rsidRDefault="00000000">
      <w:pPr>
        <w:pStyle w:val="ListParagraph"/>
        <w:numPr>
          <w:ilvl w:val="0"/>
          <w:numId w:val="2"/>
        </w:numPr>
        <w:spacing w:after="100"/>
      </w:pPr>
      <w:r>
        <w:rPr>
          <w:color w:val="2D3748"/>
        </w:rPr>
        <w:t>Procurement, licensing, or configuration of third-party tools or platforms on behalf of the Client.</w:t>
      </w:r>
    </w:p>
    <w:p w14:paraId="0C881714" w14:textId="77777777" w:rsidR="00400FAF" w:rsidRDefault="00000000">
      <w:pPr>
        <w:pStyle w:val="ListParagraph"/>
        <w:numPr>
          <w:ilvl w:val="0"/>
          <w:numId w:val="2"/>
        </w:numPr>
        <w:spacing w:after="200"/>
      </w:pPr>
      <w:r>
        <w:rPr>
          <w:color w:val="2D3748"/>
        </w:rPr>
        <w:t>Guarantees of specific functional outcomes for Tier 2 or Tier 3 deliverables, which are exploratory and illustrative by design.</w:t>
      </w:r>
    </w:p>
    <w:p w14:paraId="0C881715" w14:textId="77777777" w:rsidR="00400FAF" w:rsidRDefault="00000000">
      <w:pPr>
        <w:pStyle w:val="Heading1"/>
      </w:pPr>
      <w:r>
        <w:t>6. Key Terms</w:t>
      </w:r>
    </w:p>
    <w:p w14:paraId="0C881716" w14:textId="77777777" w:rsidR="00400FAF" w:rsidRDefault="00000000">
      <w:pPr>
        <w:pStyle w:val="ListParagraph"/>
        <w:numPr>
          <w:ilvl w:val="0"/>
          <w:numId w:val="2"/>
        </w:numPr>
        <w:spacing w:after="100"/>
      </w:pPr>
      <w:r>
        <w:rPr>
          <w:color w:val="2D3748"/>
        </w:rPr>
        <w:t>The Client will identify and schedule participating teams and individuals within the engagement window.</w:t>
      </w:r>
    </w:p>
    <w:p w14:paraId="0C881717" w14:textId="77777777" w:rsidR="00400FAF" w:rsidRDefault="00000000">
      <w:pPr>
        <w:pStyle w:val="ListParagraph"/>
        <w:numPr>
          <w:ilvl w:val="0"/>
          <w:numId w:val="2"/>
        </w:numPr>
        <w:spacing w:after="100"/>
      </w:pPr>
      <w:r>
        <w:rPr>
          <w:color w:val="2D3748"/>
        </w:rPr>
        <w:t xml:space="preserve">The Client will provide reasonable access to information about existing workflows and </w:t>
      </w:r>
      <w:proofErr w:type="gramStart"/>
      <w:r>
        <w:rPr>
          <w:color w:val="2D3748"/>
        </w:rPr>
        <w:t>systems as</w:t>
      </w:r>
      <w:proofErr w:type="gramEnd"/>
      <w:r>
        <w:rPr>
          <w:color w:val="2D3748"/>
        </w:rPr>
        <w:t xml:space="preserve"> needed for discovery, without requiring the Provider to access those systems directly.</w:t>
      </w:r>
    </w:p>
    <w:p w14:paraId="0C881718" w14:textId="77777777" w:rsidR="00400FAF" w:rsidRDefault="00000000">
      <w:pPr>
        <w:pStyle w:val="ListParagraph"/>
        <w:numPr>
          <w:ilvl w:val="0"/>
          <w:numId w:val="2"/>
        </w:numPr>
        <w:spacing w:after="100"/>
      </w:pPr>
      <w:r>
        <w:rPr>
          <w:color w:val="2D3748"/>
        </w:rPr>
        <w:t>Tier classification and build engagement selection are at the sole discretion of the Provider.</w:t>
      </w:r>
    </w:p>
    <w:p w14:paraId="0C881719" w14:textId="77777777" w:rsidR="00400FAF" w:rsidRDefault="00000000">
      <w:pPr>
        <w:pStyle w:val="ListParagraph"/>
        <w:numPr>
          <w:ilvl w:val="0"/>
          <w:numId w:val="2"/>
        </w:numPr>
        <w:spacing w:after="100"/>
      </w:pPr>
      <w:r>
        <w:rPr>
          <w:color w:val="2D3748"/>
        </w:rPr>
        <w:t xml:space="preserve">On-site presence is limited to two to three (2–3) days. Remaining work, including </w:t>
      </w:r>
      <w:proofErr w:type="gramStart"/>
      <w:r>
        <w:rPr>
          <w:color w:val="2D3748"/>
        </w:rPr>
        <w:t>build</w:t>
      </w:r>
      <w:proofErr w:type="gramEnd"/>
      <w:r>
        <w:rPr>
          <w:color w:val="2D3748"/>
        </w:rPr>
        <w:t xml:space="preserve"> completion and brief packaging, is conducted off-site.</w:t>
      </w:r>
    </w:p>
    <w:p w14:paraId="0C88171A" w14:textId="77777777" w:rsidR="00400FAF" w:rsidRDefault="00000000">
      <w:pPr>
        <w:pStyle w:val="ListParagraph"/>
        <w:numPr>
          <w:ilvl w:val="0"/>
          <w:numId w:val="2"/>
        </w:numPr>
        <w:spacing w:after="200"/>
      </w:pPr>
      <w:r>
        <w:rPr>
          <w:color w:val="2D3748"/>
        </w:rPr>
        <w:t>Any work beyond the scope defined in this document requires a separate agreement.</w:t>
      </w:r>
    </w:p>
    <w:sectPr w:rsidR="00400F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0FA8D" w14:textId="77777777" w:rsidR="009D0E04" w:rsidRDefault="009D0E04">
      <w:r>
        <w:separator/>
      </w:r>
    </w:p>
  </w:endnote>
  <w:endnote w:type="continuationSeparator" w:id="0">
    <w:p w14:paraId="375AF3E7" w14:textId="77777777" w:rsidR="009D0E04" w:rsidRDefault="009D0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171C" w14:textId="36F54C18" w:rsidR="00400FAF" w:rsidRDefault="00000000">
    <w:pPr>
      <w:pBdr>
        <w:top w:val="single" w:sz="4" w:space="4" w:color="CBD5E0"/>
      </w:pBdr>
      <w:jc w:val="center"/>
    </w:pPr>
    <w:proofErr w:type="gramStart"/>
    <w:r>
      <w:rPr>
        <w:color w:val="CBD5E0"/>
        <w:sz w:val="18"/>
        <w:szCs w:val="18"/>
      </w:rPr>
      <w:t>DRAFT  |</w:t>
    </w:r>
    <w:proofErr w:type="gramEnd"/>
    <w:r>
      <w:rPr>
        <w:color w:val="CBD5E0"/>
        <w:sz w:val="18"/>
        <w:szCs w:val="18"/>
      </w:rPr>
      <w:t xml:space="preserve">  Page </w:t>
    </w:r>
    <w:r>
      <w:rPr>
        <w:color w:val="CBD5E0"/>
        <w:sz w:val="18"/>
        <w:szCs w:val="18"/>
      </w:rPr>
      <w:fldChar w:fldCharType="begin"/>
    </w:r>
    <w:r>
      <w:rPr>
        <w:color w:val="CBD5E0"/>
        <w:sz w:val="18"/>
        <w:szCs w:val="18"/>
      </w:rPr>
      <w:instrText>PAGE</w:instrText>
    </w:r>
    <w:r>
      <w:rPr>
        <w:color w:val="CBD5E0"/>
        <w:sz w:val="18"/>
        <w:szCs w:val="18"/>
      </w:rPr>
      <w:fldChar w:fldCharType="separate"/>
    </w:r>
    <w:r w:rsidR="004663BB">
      <w:rPr>
        <w:noProof/>
        <w:color w:val="CBD5E0"/>
        <w:sz w:val="18"/>
        <w:szCs w:val="18"/>
      </w:rPr>
      <w:t>1</w:t>
    </w:r>
    <w:r>
      <w:rPr>
        <w:color w:val="CBD5E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8801B" w14:textId="77777777" w:rsidR="009D0E04" w:rsidRDefault="009D0E04">
      <w:r>
        <w:separator/>
      </w:r>
    </w:p>
  </w:footnote>
  <w:footnote w:type="continuationSeparator" w:id="0">
    <w:p w14:paraId="62C5186D" w14:textId="77777777" w:rsidR="009D0E04" w:rsidRDefault="009D0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171B" w14:textId="77777777" w:rsidR="00400FAF" w:rsidRDefault="00000000">
    <w:pPr>
      <w:pBdr>
        <w:bottom w:val="single" w:sz="4" w:space="4" w:color="2B6CB0"/>
      </w:pBdr>
      <w:jc w:val="right"/>
    </w:pPr>
    <w:r>
      <w:rPr>
        <w:i/>
        <w:iCs/>
        <w:color w:val="2B6CB0"/>
        <w:sz w:val="18"/>
        <w:szCs w:val="18"/>
      </w:rPr>
      <w:t xml:space="preserve">THE </w:t>
    </w:r>
    <w:proofErr w:type="gramStart"/>
    <w:r>
      <w:rPr>
        <w:i/>
        <w:iCs/>
        <w:color w:val="2B6CB0"/>
        <w:sz w:val="18"/>
        <w:szCs w:val="18"/>
      </w:rPr>
      <w:t>COUNTER  |</w:t>
    </w:r>
    <w:proofErr w:type="gramEnd"/>
    <w:r>
      <w:rPr>
        <w:i/>
        <w:iCs/>
        <w:color w:val="2B6CB0"/>
        <w:sz w:val="18"/>
        <w:szCs w:val="18"/>
      </w:rPr>
      <w:t xml:space="preserve">  Engagement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5438"/>
    <w:multiLevelType w:val="hybridMultilevel"/>
    <w:tmpl w:val="499C42B4"/>
    <w:lvl w:ilvl="0" w:tplc="79FACB8C">
      <w:start w:val="1"/>
      <w:numFmt w:val="decimal"/>
      <w:lvlText w:val="%1."/>
      <w:lvlJc w:val="left"/>
      <w:pPr>
        <w:ind w:left="720" w:hanging="360"/>
      </w:pPr>
    </w:lvl>
    <w:lvl w:ilvl="1" w:tplc="3A94BF38">
      <w:numFmt w:val="decimal"/>
      <w:lvlText w:val=""/>
      <w:lvlJc w:val="left"/>
    </w:lvl>
    <w:lvl w:ilvl="2" w:tplc="5BEAA242">
      <w:numFmt w:val="decimal"/>
      <w:lvlText w:val=""/>
      <w:lvlJc w:val="left"/>
    </w:lvl>
    <w:lvl w:ilvl="3" w:tplc="4D680DEA">
      <w:numFmt w:val="decimal"/>
      <w:lvlText w:val=""/>
      <w:lvlJc w:val="left"/>
    </w:lvl>
    <w:lvl w:ilvl="4" w:tplc="3500D2AE">
      <w:numFmt w:val="decimal"/>
      <w:lvlText w:val=""/>
      <w:lvlJc w:val="left"/>
    </w:lvl>
    <w:lvl w:ilvl="5" w:tplc="E4F67052">
      <w:numFmt w:val="decimal"/>
      <w:lvlText w:val=""/>
      <w:lvlJc w:val="left"/>
    </w:lvl>
    <w:lvl w:ilvl="6" w:tplc="9BD820E6">
      <w:numFmt w:val="decimal"/>
      <w:lvlText w:val=""/>
      <w:lvlJc w:val="left"/>
    </w:lvl>
    <w:lvl w:ilvl="7" w:tplc="6EA4E0DC">
      <w:numFmt w:val="decimal"/>
      <w:lvlText w:val=""/>
      <w:lvlJc w:val="left"/>
    </w:lvl>
    <w:lvl w:ilvl="8" w:tplc="FE5804FC">
      <w:numFmt w:val="decimal"/>
      <w:lvlText w:val=""/>
      <w:lvlJc w:val="left"/>
    </w:lvl>
  </w:abstractNum>
  <w:abstractNum w:abstractNumId="1" w15:restartNumberingAfterBreak="0">
    <w:nsid w:val="256B3F40"/>
    <w:multiLevelType w:val="hybridMultilevel"/>
    <w:tmpl w:val="601ED05A"/>
    <w:lvl w:ilvl="0" w:tplc="960268BC">
      <w:start w:val="1"/>
      <w:numFmt w:val="bullet"/>
      <w:lvlText w:val="•"/>
      <w:lvlJc w:val="left"/>
      <w:pPr>
        <w:ind w:left="720" w:hanging="360"/>
      </w:pPr>
    </w:lvl>
    <w:lvl w:ilvl="1" w:tplc="8FFC5370">
      <w:numFmt w:val="decimal"/>
      <w:lvlText w:val=""/>
      <w:lvlJc w:val="left"/>
    </w:lvl>
    <w:lvl w:ilvl="2" w:tplc="50A09E7E">
      <w:numFmt w:val="decimal"/>
      <w:lvlText w:val=""/>
      <w:lvlJc w:val="left"/>
    </w:lvl>
    <w:lvl w:ilvl="3" w:tplc="C96E1B14">
      <w:numFmt w:val="decimal"/>
      <w:lvlText w:val=""/>
      <w:lvlJc w:val="left"/>
    </w:lvl>
    <w:lvl w:ilvl="4" w:tplc="0EE6D1C2">
      <w:numFmt w:val="decimal"/>
      <w:lvlText w:val=""/>
      <w:lvlJc w:val="left"/>
    </w:lvl>
    <w:lvl w:ilvl="5" w:tplc="97B0A95E">
      <w:numFmt w:val="decimal"/>
      <w:lvlText w:val=""/>
      <w:lvlJc w:val="left"/>
    </w:lvl>
    <w:lvl w:ilvl="6" w:tplc="E4C291CA">
      <w:numFmt w:val="decimal"/>
      <w:lvlText w:val=""/>
      <w:lvlJc w:val="left"/>
    </w:lvl>
    <w:lvl w:ilvl="7" w:tplc="579680F8">
      <w:numFmt w:val="decimal"/>
      <w:lvlText w:val=""/>
      <w:lvlJc w:val="left"/>
    </w:lvl>
    <w:lvl w:ilvl="8" w:tplc="375E9606">
      <w:numFmt w:val="decimal"/>
      <w:lvlText w:val=""/>
      <w:lvlJc w:val="left"/>
    </w:lvl>
  </w:abstractNum>
  <w:abstractNum w:abstractNumId="2" w15:restartNumberingAfterBreak="0">
    <w:nsid w:val="5BDC411D"/>
    <w:multiLevelType w:val="hybridMultilevel"/>
    <w:tmpl w:val="7714B6FE"/>
    <w:lvl w:ilvl="0" w:tplc="AF8407F4">
      <w:start w:val="1"/>
      <w:numFmt w:val="bullet"/>
      <w:lvlText w:val="●"/>
      <w:lvlJc w:val="left"/>
      <w:pPr>
        <w:ind w:left="720" w:hanging="360"/>
      </w:pPr>
    </w:lvl>
    <w:lvl w:ilvl="1" w:tplc="56BE3634">
      <w:start w:val="1"/>
      <w:numFmt w:val="bullet"/>
      <w:lvlText w:val="○"/>
      <w:lvlJc w:val="left"/>
      <w:pPr>
        <w:ind w:left="1440" w:hanging="360"/>
      </w:pPr>
    </w:lvl>
    <w:lvl w:ilvl="2" w:tplc="DECE21E6">
      <w:start w:val="1"/>
      <w:numFmt w:val="bullet"/>
      <w:lvlText w:val="■"/>
      <w:lvlJc w:val="left"/>
      <w:pPr>
        <w:ind w:left="2160" w:hanging="360"/>
      </w:pPr>
    </w:lvl>
    <w:lvl w:ilvl="3" w:tplc="D9FAF75E">
      <w:start w:val="1"/>
      <w:numFmt w:val="bullet"/>
      <w:lvlText w:val="●"/>
      <w:lvlJc w:val="left"/>
      <w:pPr>
        <w:ind w:left="2880" w:hanging="360"/>
      </w:pPr>
    </w:lvl>
    <w:lvl w:ilvl="4" w:tplc="8350F51E">
      <w:start w:val="1"/>
      <w:numFmt w:val="bullet"/>
      <w:lvlText w:val="○"/>
      <w:lvlJc w:val="left"/>
      <w:pPr>
        <w:ind w:left="3600" w:hanging="360"/>
      </w:pPr>
    </w:lvl>
    <w:lvl w:ilvl="5" w:tplc="1CE4C874">
      <w:start w:val="1"/>
      <w:numFmt w:val="bullet"/>
      <w:lvlText w:val="■"/>
      <w:lvlJc w:val="left"/>
      <w:pPr>
        <w:ind w:left="4320" w:hanging="360"/>
      </w:pPr>
    </w:lvl>
    <w:lvl w:ilvl="6" w:tplc="B67656FA">
      <w:start w:val="1"/>
      <w:numFmt w:val="bullet"/>
      <w:lvlText w:val="●"/>
      <w:lvlJc w:val="left"/>
      <w:pPr>
        <w:ind w:left="5040" w:hanging="360"/>
      </w:pPr>
    </w:lvl>
    <w:lvl w:ilvl="7" w:tplc="3E4E8802">
      <w:start w:val="1"/>
      <w:numFmt w:val="bullet"/>
      <w:lvlText w:val="●"/>
      <w:lvlJc w:val="left"/>
      <w:pPr>
        <w:ind w:left="5760" w:hanging="360"/>
      </w:pPr>
    </w:lvl>
    <w:lvl w:ilvl="8" w:tplc="500EC2C6">
      <w:start w:val="1"/>
      <w:numFmt w:val="bullet"/>
      <w:lvlText w:val="●"/>
      <w:lvlJc w:val="left"/>
      <w:pPr>
        <w:ind w:left="6480" w:hanging="360"/>
      </w:pPr>
    </w:lvl>
  </w:abstractNum>
  <w:num w:numId="1" w16cid:durableId="529223364">
    <w:abstractNumId w:val="2"/>
    <w:lvlOverride w:ilvl="0">
      <w:startOverride w:val="1"/>
    </w:lvlOverride>
  </w:num>
  <w:num w:numId="2" w16cid:durableId="9781531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FAF"/>
    <w:rsid w:val="00400FAF"/>
    <w:rsid w:val="004663BB"/>
    <w:rsid w:val="006555AE"/>
    <w:rsid w:val="009D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16BC"/>
  <w15:docId w15:val="{459BE175-2872-4394-A0AE-2A2655B8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D3748"/>
      <w:sz w:val="32"/>
      <w:szCs w:val="32"/>
    </w:rPr>
  </w:style>
  <w:style w:type="paragraph" w:styleId="Heading2">
    <w:name w:val="heading 2"/>
    <w:uiPriority w:val="9"/>
    <w:unhideWhenUsed/>
    <w:qFormat/>
    <w:pPr>
      <w:spacing w:before="280" w:after="120"/>
      <w:outlineLvl w:val="1"/>
    </w:pPr>
    <w:rPr>
      <w:b/>
      <w:bCs/>
      <w:color w:val="2B6CB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1563</Words>
  <Characters>8855</Characters>
  <Application>Microsoft Office Word</Application>
  <DocSecurity>0</DocSecurity>
  <Lines>178</Lines>
  <Paragraphs>81</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Drew Castellaw</cp:lastModifiedBy>
  <cp:revision>2</cp:revision>
  <dcterms:created xsi:type="dcterms:W3CDTF">2026-03-31T19:35:00Z</dcterms:created>
  <dcterms:modified xsi:type="dcterms:W3CDTF">2026-03-31T19:38:00Z</dcterms:modified>
</cp:coreProperties>
</file>