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C2410C"/>
          <w:sz w:val="40"/>
        </w:rPr>
        <w:t>昇腾智算集群交付标准 V2.1（示例）</w:t>
      </w:r>
    </w:p>
    <w:p>
      <w:r>
        <w:rPr>
          <w:rFonts w:ascii="Microsoft YaHei" w:hAnsi="Microsoft YaHei" w:eastAsia="Microsoft YaHei"/>
          <w:b w:val="0"/>
          <w:color w:val="666666"/>
          <w:sz w:val="19"/>
        </w:rPr>
        <w:t>适用于昇腾智算集群到货验收；示例数据仅用于插件自测。</w:t>
      </w:r>
    </w:p>
    <w:p>
      <w:pPr>
        <w:pStyle w:val="Heading1"/>
      </w:pPr>
      <w:r>
        <w:t>1 昇腾运行环境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0"/>
        <w:gridCol w:w="2600"/>
        <w:gridCol w:w="2600"/>
        <w:gridCol w:w="2600"/>
      </w:tblGrid>
      <w:tr>
        <w:tc>
          <w:tcPr>
            <w:tcW w:type="dxa" w:w="7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4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交付要求</w:t>
            </w:r>
          </w:p>
        </w:tc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验证方法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 型号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Atlas 800T A2 或同等级昇腾训练服务器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到货清单 + npu-smi info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单节点 NPU 数量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不少于 8 张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npu-smi info -l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 健康状态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全部正常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npu-smi info -t health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 温度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不高于 85 ℃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npu-smi info -t temp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 功耗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不高于 400 W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npu-smi info -t power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 显存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不小于 64 GB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npu-smi info -t memory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主机内存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不小于 1024 GB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free -h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ECC 错误计数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等于 0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npu-smi info -t ecc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CANN 版本应不低于 8.0.RC1。</w:t>
      </w:r>
    </w:p>
    <w:p>
      <w:r>
        <w:rPr>
          <w:rFonts w:ascii="Microsoft YaHei" w:hAnsi="Microsoft YaHei" w:eastAsia="Microsoft YaHei"/>
          <w:b w:val="0"/>
          <w:sz w:val="21"/>
        </w:rPr>
        <w:t>NPU 驱动版本应不低于 23.0.3。</w:t>
      </w:r>
    </w:p>
    <w:p>
      <w:r>
        <w:rPr>
          <w:rFonts w:ascii="Microsoft YaHei" w:hAnsi="Microsoft YaHei" w:eastAsia="Microsoft YaHei"/>
          <w:b w:val="0"/>
          <w:sz w:val="21"/>
        </w:rPr>
        <w:t>NPU 固件版本应不低于 7.1.0.5.220。</w:t>
      </w:r>
    </w:p>
    <w:p>
      <w:r>
        <w:rPr>
          <w:rFonts w:ascii="Microsoft YaHei" w:hAnsi="Microsoft YaHei" w:eastAsia="Microsoft YaHei"/>
          <w:b w:val="0"/>
          <w:sz w:val="21"/>
        </w:rPr>
        <w:t>操作系统应为 openEuler 22.03 LTS 或以上。</w:t>
      </w:r>
    </w:p>
    <w:p>
      <w:r>
        <w:rPr>
          <w:rFonts w:ascii="Microsoft YaHei" w:hAnsi="Microsoft YaHei" w:eastAsia="Microsoft YaHei"/>
          <w:b w:val="0"/>
          <w:sz w:val="21"/>
        </w:rPr>
        <w:t>Python 版本应不低于 3.10。</w:t>
      </w:r>
    </w:p>
    <w:p>
      <w:pPr>
        <w:pStyle w:val="Heading1"/>
      </w:pPr>
      <w:r>
        <w:t>2 机房基础设施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0"/>
        <w:gridCol w:w="2600"/>
        <w:gridCol w:w="2600"/>
        <w:gridCol w:w="2600"/>
      </w:tblGrid>
      <w:tr>
        <w:tc>
          <w:tcPr>
            <w:tcW w:type="dxa" w:w="7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2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4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交付要求</w:t>
            </w:r>
          </w:p>
        </w:tc>
        <w:tc>
          <w:tcPr>
            <w:tcW w:type="dxa" w:w="300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验证方法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机房温度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冷通道温度保持在 18 ℃～27 ℃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动环监控 24h 曲线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相对湿度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保持在 30%～70% RH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动环监控 24h 曲线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单机柜功率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不低于 8 kW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配电核算 + 实测电流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机柜高度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不小于 42U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机柜铭牌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楼板承重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不低于 1000 kg/m²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结构复核报告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接地电阻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不大于 4 Ω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接地电阻测试报告</w:t>
            </w:r>
          </w:p>
        </w:tc>
      </w:tr>
      <w:tr>
        <w:tc>
          <w:tcPr>
            <w:tcW w:type="dxa" w:w="7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UPS 后备时间</w:t>
            </w:r>
          </w:p>
        </w:tc>
        <w:tc>
          <w:tcPr>
            <w:tcW w:type="dxa" w:w="44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不少于 30 分钟</w:t>
            </w:r>
          </w:p>
        </w:tc>
        <w:tc>
          <w:tcPr>
            <w:tcW w:type="dxa" w:w="300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UPS 放电测试报告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机房应配置双路市电和 A/B 路 PDU，单路故障时不影响业务运行。</w:t>
      </w:r>
    </w:p>
    <w:p>
      <w:r>
        <w:rPr>
          <w:rFonts w:ascii="Microsoft YaHei" w:hAnsi="Microsoft YaHei" w:eastAsia="Microsoft YaHei"/>
          <w:b w:val="0"/>
          <w:sz w:val="21"/>
        </w:rPr>
        <w:t>机房应配置气体灭火系统，并完成消防联动测试。</w:t>
      </w:r>
    </w:p>
    <w:p>
      <w:r>
        <w:rPr>
          <w:rFonts w:ascii="Microsoft YaHei" w:hAnsi="Microsoft YaHei" w:eastAsia="Microsoft YaHei"/>
          <w:b w:val="0"/>
          <w:sz w:val="21"/>
        </w:rPr>
        <w:t>机房应配置漏水检测，接入动环监控并支持短信告警。</w:t>
      </w:r>
    </w:p>
    <w:p>
      <w:r>
        <w:rPr>
          <w:rFonts w:ascii="Microsoft YaHei" w:hAnsi="Microsoft YaHei" w:eastAsia="Microsoft YaHei"/>
          <w:b w:val="0"/>
          <w:sz w:val="21"/>
        </w:rPr>
        <w:t>冷通道应完成封闭，避免冷热气流短路。</w:t>
      </w:r>
    </w:p>
    <w:p>
      <w:pPr>
        <w:pStyle w:val="Heading1"/>
      </w:pPr>
      <w:r>
        <w:t>3 交付文档与运维</w:t>
      </w:r>
    </w:p>
    <w:p>
      <w:r>
        <w:rPr>
          <w:rFonts w:ascii="Microsoft YaHei" w:hAnsi="Microsoft YaHei" w:eastAsia="Microsoft YaHei"/>
          <w:b w:val="0"/>
          <w:sz w:val="21"/>
        </w:rPr>
        <w:t>应提供以下交付文档：到货验收单、装箱单、出厂检测报告、产品合格证、保修卡、资产清单、网络拓扑图、操作手册。</w:t>
      </w:r>
    </w:p>
    <w:p>
      <w:r>
        <w:rPr>
          <w:rFonts w:ascii="Microsoft YaHei" w:hAnsi="Microsoft YaHei" w:eastAsia="Microsoft YaHei"/>
          <w:b w:val="0"/>
          <w:sz w:val="21"/>
        </w:rPr>
        <w:t>应提供集群性能测试报告，包含算力、网络和存储测试的原始数据。</w:t>
      </w:r>
    </w:p>
    <w:p>
      <w:r>
        <w:rPr>
          <w:rFonts w:ascii="Microsoft YaHei" w:hAnsi="Microsoft YaHei" w:eastAsia="Microsoft YaHei"/>
          <w:b w:val="0"/>
          <w:sz w:val="21"/>
        </w:rPr>
        <w:t>质保期不少于 3 年。</w:t>
      </w:r>
    </w:p>
    <w:p>
      <w:r>
        <w:rPr>
          <w:rFonts w:ascii="Microsoft YaHei" w:hAnsi="Microsoft YaHei" w:eastAsia="Microsoft YaHei"/>
          <w:b w:val="0"/>
          <w:sz w:val="21"/>
        </w:rPr>
        <w:t>故障响应时间不超过 4 小时。</w:t>
      </w:r>
    </w:p>
    <w:sectPr w:rsidR="00FC693F" w:rsidRPr="0006063C" w:rsidSect="00034616">
      <w:pgSz w:w="12240" w:h="15840"/>
      <w:pgMar w:top="1440" w:right="920" w:bottom="144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