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Ubuntu" w:hAnsi="Ubuntu"/>
          <w:b/>
          <w:i w:val="0"/>
          <w:color w:val="8D153A"/>
          <w:sz w:val="144"/>
        </w:rPr>
        <w:t>SRI LANKA THIS WEEK</w:t>
      </w:r>
    </w:p>
    <w:p>
      <w:pPr>
        <w:spacing w:before="0" w:after="280"/>
        <w:jc w:val="center"/>
      </w:pPr>
      <w:r>
        <w:rPr>
          <w:rFonts w:ascii="Ubuntu" w:hAnsi="Ubuntu"/>
          <w:b w:val="0"/>
          <w:i/>
          <w:color w:val="FC8B00"/>
          <w:sz w:val="28"/>
        </w:rPr>
        <w:t>Tuesday the 28th of April, 2026  to  Tuesday the 5th of May, 2026   ·   Based on 163 articles</w:t>
      </w:r>
    </w:p>
    <w:tbl>
      <w:tblPr>
        <w:tblW w:type="auto" w:w="0"/>
        <w:tblLook w:firstColumn="1" w:firstRow="1" w:lastColumn="0" w:lastRow="0" w:noHBand="0" w:noVBand="1" w:val="04A0"/>
        <w:tblBorders>
          <w:top w:val="nil"/>
          <w:left w:val="nil"/>
          <w:bottom w:val="nil"/>
          <w:right w:val="nil"/>
          <w:insideH w:val="nil"/>
          <w:insideV w:val="nil"/>
        </w:tblBorders>
      </w:tblPr>
      <w:tblGrid>
        <w:gridCol w:w="7699"/>
        <w:gridCol w:w="7699"/>
        <w:gridCol w:w="7699"/>
        <w:gridCol w:w="7699"/>
      </w:tblGrid>
      <w:tr>
        <w:tc>
          <w:tcPr>
            <w:tcW w:type="dxa" w:w="7699"/>
            <w:vMerge w:val="restart"/>
            <w:tcBorders>
              <w:top w:val="nil"/>
              <w:left w:val="nil"/>
              <w:bottom w:val="nil"/>
              <w:right w:val="nil"/>
              <w:insideH w:val="nil"/>
              <w:insideV w:val="nil"/>
            </w:tcBorders>
          </w:tcPr>
          <w:p>
            <w:pPr>
              <w:spacing w:before="0" w:after="160"/>
            </w:pPr>
            <w:r>
              <w:rPr>
                <w:rFonts w:ascii="Ubuntu" w:hAnsi="Ubuntu"/>
                <w:b/>
                <w:i w:val="0"/>
                <w:color w:val="FC8B00"/>
                <w:sz w:val="28"/>
              </w:rPr>
              <w:t>OTHER NEWS</w:t>
            </w:r>
          </w:p>
          <w:p>
            <w:pPr>
              <w:spacing w:before="0" w:after="80"/>
              <w:jc w:val="left"/>
            </w:pPr>
            <w:r>
              <w:rPr>
                <w:rFonts w:ascii="Ubuntu" w:hAnsi="Ubuntu"/>
                <w:b/>
                <w:i w:val="0"/>
                <w:color w:val="FC8B00"/>
                <w:sz w:val="24"/>
              </w:rPr>
              <w:t>A parliamentary finance panel reviewed a new insolvency and restructuring bill aimed at replacing liquidation‑led regimes.</w:t>
            </w:r>
          </w:p>
          <w:p>
            <w:pPr>
              <w:spacing w:before="0" w:after="200"/>
              <w:jc w:val="both"/>
            </w:pPr>
            <w:r>
              <w:rPr>
                <w:rFonts w:ascii="Ubuntu" w:hAnsi="Ubuntu"/>
                <w:b w:val="0"/>
                <w:i w:val="0"/>
                <w:color w:val="000000"/>
                <w:sz w:val="26"/>
              </w:rPr>
              <w:t>The proposal introduces court‑supervised moratoria, creditor voting on plans that bind all classes once thresholds are met, and priority finance to support viable turnarounds, in contrast to fragmented statutes dating to the 1800s and 1939. Stakeholders flagged tax clarity, priority of State claims, interactions with parate powers, and court capacity as implementation risks, with committee‑stage amendments signalled on definitional and operational gaps before debate.</w:t>
            </w:r>
          </w:p>
          <w:p>
            <w:pPr>
              <w:spacing w:before="0" w:after="80"/>
              <w:jc w:val="left"/>
            </w:pPr>
            <w:r>
              <w:rPr>
                <w:rFonts w:ascii="Ubuntu" w:hAnsi="Ubuntu"/>
                <w:b/>
                <w:i w:val="0"/>
                <w:color w:val="FC8B00"/>
                <w:sz w:val="24"/>
              </w:rPr>
              <w:t>Dialog Axiata reported surpassing 1,000 live fifth‑generation mobile sites ahead of 2026 rollout targets set by the regulator.</w:t>
            </w:r>
          </w:p>
          <w:p>
            <w:pPr>
              <w:spacing w:before="0" w:after="200"/>
              <w:jc w:val="both"/>
            </w:pPr>
            <w:r>
              <w:rPr>
                <w:rFonts w:ascii="Ubuntu" w:hAnsi="Ubuntu"/>
                <w:b w:val="0"/>
                <w:i w:val="0"/>
                <w:color w:val="000000"/>
                <w:sz w:val="26"/>
              </w:rPr>
              <w:t>The expansion followed a commercial launch footprint of over 220 sites and more than 1.5 million compatible users, and included nationwide district coverage and an entry‑level 5G handset at LKR 35,999 to broaden access. The operator said the grid supports future enterprise and consumer use cases beyond enhanced mobile broadband.</w:t>
            </w:r>
          </w:p>
          <w:p>
            <w:pPr>
              <w:spacing w:before="0" w:after="80"/>
              <w:jc w:val="left"/>
            </w:pPr>
            <w:r>
              <w:rPr>
                <w:rFonts w:ascii="Ubuntu" w:hAnsi="Ubuntu"/>
                <w:b/>
                <w:i w:val="0"/>
                <w:color w:val="FC8B00"/>
                <w:sz w:val="24"/>
              </w:rPr>
              <w:t>A visiting Russian health delegation began a three‑day programme including talks with health and foreign ministries and site visits in Colombo.</w:t>
            </w:r>
          </w:p>
          <w:p>
            <w:pPr>
              <w:spacing w:before="0" w:after="200"/>
              <w:jc w:val="both"/>
            </w:pPr>
            <w:r>
              <w:rPr>
                <w:rFonts w:ascii="Ubuntu" w:hAnsi="Ubuntu"/>
                <w:b w:val="0"/>
                <w:i w:val="0"/>
                <w:color w:val="000000"/>
                <w:sz w:val="26"/>
              </w:rPr>
              <w:t>The agenda featured discussions on pharmaceuticals, equipment and specialist training, as well as engagements at the national tertiary hospital and a medical faculty to explore academic exchanges. The trip aligned with prior technical cooperation and health‑sector modernisation priorities.</w:t>
            </w:r>
          </w:p>
          <w:p>
            <w:pPr>
              <w:spacing w:before="0" w:after="80"/>
              <w:jc w:val="left"/>
            </w:pPr>
            <w:r>
              <w:rPr>
                <w:rFonts w:ascii="Ubuntu" w:hAnsi="Ubuntu"/>
                <w:b/>
                <w:i w:val="0"/>
                <w:color w:val="FC8B00"/>
                <w:sz w:val="24"/>
              </w:rPr>
              <w:t>Officials received a report outlining how to enable overseas voting for more than 1.5 million citizens abroad.</w:t>
            </w:r>
          </w:p>
          <w:p>
            <w:pPr>
              <w:spacing w:before="0" w:after="200"/>
              <w:jc w:val="both"/>
            </w:pPr>
            <w:r>
              <w:rPr>
                <w:rFonts w:ascii="Ubuntu" w:hAnsi="Ubuntu"/>
                <w:b w:val="0"/>
                <w:i w:val="0"/>
                <w:color w:val="000000"/>
                <w:sz w:val="26"/>
              </w:rPr>
              <w:t>The submission categorised eligible groups such as migrant workers, students and dual citizens, and set options for registration, campaigning rules, and balloting via missions, post or secure online channels. The ministry said the proposals will go to Cabinet and then to wider consultation, with advanced and mobile voting for essential domestic workers identified as an additional policy track.</w:t>
            </w:r>
          </w:p>
          <w:p>
            <w:pPr>
              <w:spacing w:before="0" w:after="80"/>
              <w:jc w:val="left"/>
            </w:pPr>
            <w:r>
              <w:rPr>
                <w:rFonts w:ascii="Ubuntu" w:hAnsi="Ubuntu"/>
                <w:b/>
                <w:i w:val="0"/>
                <w:color w:val="FC8B00"/>
                <w:sz w:val="24"/>
              </w:rPr>
              <w:t>Cabinet cleared rules expanding the Central Bank’s power to collect statistics from external parties and to sanction non‑compliance.</w:t>
            </w:r>
          </w:p>
          <w:p>
            <w:pPr>
              <w:spacing w:before="0" w:after="200"/>
              <w:jc w:val="both"/>
            </w:pPr>
            <w:r>
              <w:rPr>
                <w:rFonts w:ascii="Ubuntu" w:hAnsi="Ubuntu"/>
                <w:b w:val="0"/>
                <w:i w:val="0"/>
                <w:color w:val="000000"/>
                <w:sz w:val="26"/>
              </w:rPr>
              <w:t>The gazetted framework under the 2023 central banking law defines reporting scopes, confidentiality, formats, and administrative actions, and will be tabled in Parliament. The Cabinet also approved laying the institution’s 2025 financial statements and operational report before the legislature following audit by the Auditor General.</w:t>
            </w:r>
          </w:p>
        </w:tc>
        <w:tc>
          <w:tcPr>
            <w:tcW w:type="dxa" w:w="23097"/>
            <w:gridSpan w:val="3"/>
            <w:tcBorders>
              <w:top w:val="nil"/>
              <w:left w:val="nil"/>
              <w:bottom w:val="nil"/>
              <w:right w:val="nil"/>
              <w:insideH w:val="nil"/>
              <w:insideV w:val="nil"/>
            </w:tcBorders>
          </w:tcPr>
          <w:p/>
          <w:p>
            <w:pPr>
              <w:spacing w:before="0" w:after="200"/>
              <w:jc w:val="left"/>
            </w:pPr>
            <w:r>
              <w:rPr>
                <w:rFonts w:ascii="Ubuntu" w:hAnsi="Ubuntu"/>
                <w:b/>
                <w:i w:val="0"/>
                <w:color w:val="8D153A"/>
                <w:sz w:val="96"/>
              </w:rPr>
              <w:t>Sri Lanka and the Maldives signed seven agreements as leaders marked 61 years of diplomatic ties in Colombo.</w:t>
            </w:r>
          </w:p>
        </w:tc>
      </w:tr>
      <w:tr>
        <w:tc>
          <w:tcPr>
            <w:tcW w:type="dxa" w:w="7699"/>
            <w:vMerge/>
          </w:tcPr>
          <w:p/>
        </w:tc>
        <w:tc>
          <w:tcPr>
            <w:tcW w:type="dxa" w:w="7699"/>
            <w:tcBorders>
              <w:top w:val="nil"/>
              <w:left w:val="nil"/>
              <w:bottom w:val="nil"/>
              <w:right w:val="nil"/>
              <w:insideH w:val="nil"/>
              <w:insideV w:val="nil"/>
            </w:tcBorders>
          </w:tcPr>
          <w:p/>
          <w:p>
            <w:pPr>
              <w:spacing w:before="0" w:after="280"/>
              <w:jc w:val="both"/>
            </w:pPr>
            <w:r>
              <w:rPr>
                <w:rFonts w:ascii="Ubuntu" w:hAnsi="Ubuntu"/>
                <w:b w:val="0"/>
                <w:i w:val="0"/>
                <w:color w:val="000000"/>
                <w:sz w:val="26"/>
              </w:rPr>
              <w:t>The pacts covered counter‑terrorism, defence education, tourism, youth and sports cooperation, archival collaboration, and teacher training, while the sides also advanced discussions on business facilitation and financial-sector presence, including the possible entry of a Maldivian bank.</w:t>
            </w:r>
          </w:p>
        </w:tc>
        <w:tc>
          <w:tcPr>
            <w:tcW w:type="dxa" w:w="7699"/>
            <w:tcBorders>
              <w:top w:val="nil"/>
              <w:left w:val="nil"/>
              <w:bottom w:val="nil"/>
              <w:right w:val="nil"/>
              <w:insideH w:val="nil"/>
              <w:insideV w:val="nil"/>
            </w:tcBorders>
          </w:tcPr>
          <w:p/>
          <w:p>
            <w:pPr>
              <w:spacing w:before="0" w:after="280"/>
              <w:jc w:val="both"/>
            </w:pPr>
            <w:r>
              <w:rPr>
                <w:rFonts w:ascii="Ubuntu" w:hAnsi="Ubuntu"/>
                <w:b w:val="0"/>
                <w:i w:val="0"/>
                <w:color w:val="000000"/>
                <w:sz w:val="26"/>
              </w:rPr>
              <w:t>The visiting delegation joined a business forum focused on investment, maritime connectivity and value‑added fisheries, areas singled out for commercial expansion alongside twin‑destination travel. Reciprocal land allocations for permanent chancery sites were announced, signalling institutional depth</w:t>
            </w:r>
          </w:p>
        </w:tc>
        <w:tc>
          <w:tcPr>
            <w:tcW w:type="dxa" w:w="7699"/>
            <w:tcBorders>
              <w:top w:val="nil"/>
              <w:left w:val="nil"/>
              <w:bottom w:val="nil"/>
              <w:right w:val="nil"/>
              <w:insideH w:val="nil"/>
              <w:insideV w:val="nil"/>
            </w:tcBorders>
          </w:tcPr>
          <w:p/>
          <w:p>
            <w:pPr>
              <w:spacing w:before="0" w:after="280"/>
              <w:jc w:val="both"/>
            </w:pPr>
            <w:r>
              <w:rPr>
                <w:rFonts w:ascii="Ubuntu" w:hAnsi="Ubuntu"/>
                <w:b w:val="0"/>
                <w:i w:val="0"/>
                <w:color w:val="000000"/>
                <w:sz w:val="26"/>
              </w:rPr>
              <w:t>to the relationship beyond protocol. The two sides also noted shared Indian Ocean security interests and the economic linkages created by air links and hospitality flows, positioning the new accords as frameworks for execution rather than stand‑alone communiqués.</w:t>
            </w:r>
          </w:p>
        </w:tc>
      </w:tr>
      <w:tr>
        <w:tc>
          <w:tcPr>
            <w:tcW w:type="dxa" w:w="7699"/>
            <w:vMerge/>
          </w:tcPr>
          <w:p/>
        </w:tc>
        <w:tc>
          <w:tcPr>
            <w:tcW w:type="dxa" w:w="7699"/>
            <w:tcBorders>
              <w:top w:val="nil"/>
              <w:left w:val="nil"/>
              <w:bottom w:val="nil"/>
              <w:right w:val="nil"/>
              <w:insideH w:val="nil"/>
              <w:insideV w:val="nil"/>
            </w:tcBorders>
          </w:tcPr>
          <w:p/>
          <w:p>
            <w:pPr>
              <w:spacing w:before="0" w:after="80"/>
              <w:jc w:val="left"/>
            </w:pPr>
            <w:r>
              <w:rPr>
                <w:rFonts w:ascii="Ubuntu" w:hAnsi="Ubuntu"/>
                <w:b/>
                <w:i w:val="0"/>
                <w:color w:val="00534E"/>
                <w:sz w:val="48"/>
              </w:rPr>
              <w:t>Parliament received a Value Added Tax amendment bill that widens the base and taxes cross‑border digital services from July 2026.</w:t>
            </w:r>
          </w:p>
          <w:p>
            <w:pPr>
              <w:spacing w:before="0" w:after="200"/>
              <w:jc w:val="both"/>
            </w:pPr>
            <w:r>
              <w:rPr>
                <w:rFonts w:ascii="Ubuntu" w:hAnsi="Ubuntu"/>
                <w:b w:val="0"/>
                <w:i w:val="0"/>
                <w:color w:val="000000"/>
                <w:sz w:val="26"/>
              </w:rPr>
              <w:t>The draft lowers the registration threshold to Rs. 36 million per year and Rs. 9 million per period, pulling more small and mid‑sized traders into the net compared to the current Rs. 60 million and Rs. 15 million levels. Non‑resident platforms supplying electronically to users in the country must register and remit, while business‑to‑business transactions remain creditable subject to documentation. The rate on financial services rises to 20.5% from 18%, and retailers face mandated secure point‑of‑sale systems and stiffer non‑compliance penalties, with maximum fines moving to Rs. 1 million from Rs. 25,000.</w:t>
            </w:r>
          </w:p>
        </w:tc>
        <w:tc>
          <w:tcPr>
            <w:tcW w:type="dxa" w:w="7699"/>
            <w:tcBorders>
              <w:top w:val="nil"/>
              <w:left w:val="nil"/>
              <w:bottom w:val="nil"/>
              <w:right w:val="nil"/>
              <w:insideH w:val="nil"/>
              <w:insideV w:val="nil"/>
            </w:tcBorders>
          </w:tcPr>
          <w:p/>
          <w:p>
            <w:pPr>
              <w:spacing w:before="0" w:after="80"/>
              <w:jc w:val="left"/>
            </w:pPr>
            <w:r>
              <w:rPr>
                <w:rFonts w:ascii="Ubuntu" w:hAnsi="Ubuntu"/>
                <w:b/>
                <w:i w:val="0"/>
                <w:color w:val="00534E"/>
                <w:sz w:val="48"/>
              </w:rPr>
              <w:t>National Development Bank disclosed a fraud of about Rs. 13.2 billion as the Central Bank tightened reconciliation rules for licensed institutions.</w:t>
            </w:r>
          </w:p>
          <w:p>
            <w:pPr>
              <w:spacing w:before="0" w:after="200"/>
              <w:jc w:val="both"/>
            </w:pPr>
            <w:r>
              <w:rPr>
                <w:rFonts w:ascii="Ubuntu" w:hAnsi="Ubuntu"/>
                <w:b w:val="0"/>
                <w:i w:val="0"/>
                <w:color w:val="000000"/>
                <w:sz w:val="26"/>
              </w:rPr>
              <w:t>Following the bank’s market filings in early April and a subsequent downgrade of its national long‑term rating by Fitch, the monetary authority on 16 April issued a directive highlighting weaknesses in control environments and board oversight, and flagged risks to the reliability of reported figures. The notice requires faster, better‑evidenced reconciliations and elevates accountability for delays, complementing existing supervisory tools. The financial institution told investors it has suspended implicated staff, secured records, and commissioned an independent forensic review to report directly to the regulator.</w:t>
            </w:r>
          </w:p>
        </w:tc>
        <w:tc>
          <w:tcPr>
            <w:tcW w:type="dxa" w:w="7699"/>
            <w:tcBorders>
              <w:top w:val="nil"/>
              <w:left w:val="nil"/>
              <w:bottom w:val="nil"/>
              <w:right w:val="nil"/>
              <w:insideH w:val="nil"/>
              <w:insideV w:val="nil"/>
            </w:tcBorders>
          </w:tcPr>
          <w:p/>
          <w:p>
            <w:pPr>
              <w:spacing w:before="0" w:after="80"/>
              <w:jc w:val="left"/>
            </w:pPr>
            <w:r>
              <w:rPr>
                <w:rFonts w:ascii="Ubuntu" w:hAnsi="Ubuntu"/>
                <w:b/>
                <w:i w:val="0"/>
                <w:color w:val="00534E"/>
                <w:sz w:val="48"/>
              </w:rPr>
              <w:t>Nations Trust Bank completed the migration of HSBC Sri Lanka’s retail banking portfolio with effect from 1 May 2026.</w:t>
            </w:r>
          </w:p>
          <w:p>
            <w:pPr>
              <w:spacing w:before="0" w:after="200"/>
              <w:jc w:val="both"/>
            </w:pPr>
            <w:r>
              <w:rPr>
                <w:rFonts w:ascii="Ubuntu" w:hAnsi="Ubuntu"/>
                <w:b w:val="0"/>
                <w:i w:val="0"/>
                <w:color w:val="000000"/>
                <w:sz w:val="26"/>
              </w:rPr>
              <w:t>The transition absorbed roughly 200,000 customer accounts across deposits, cards, loans and wealth tiers, added seven branches including several private‑banking locations, and took the network footprint to 96 outlets nationwide. Staff of the transferred franchise joined the acquirer, with extended service hours and dedicated hotlines offered during the cutover to stabilise client access. The move follows formal approvals and is positioned as a scale and capability expansion in a market where capital‑light franchises have leaned into digital and affluent banking.</w:t>
            </w:r>
          </w:p>
        </w:tc>
      </w:tr>
      <w:tr>
        <w:tc>
          <w:tcPr>
            <w:tcW w:type="dxa" w:w="7699"/>
            <w:vMerge/>
          </w:tcPr>
          <w:p/>
        </w:tc>
        <w:tc>
          <w:tcPr>
            <w:tcW w:type="dxa" w:w="7699"/>
            <w:tcBorders>
              <w:top w:val="nil"/>
              <w:left w:val="nil"/>
              <w:bottom w:val="nil"/>
              <w:right w:val="nil"/>
              <w:insideH w:val="nil"/>
              <w:insideV w:val="nil"/>
            </w:tcBorders>
          </w:tcPr>
          <w:p/>
          <w:p>
            <w:pPr>
              <w:spacing w:before="0" w:after="80"/>
              <w:jc w:val="left"/>
            </w:pPr>
            <w:r>
              <w:rPr>
                <w:rFonts w:ascii="Ubuntu" w:hAnsi="Ubuntu"/>
                <w:b/>
                <w:i w:val="0"/>
                <w:color w:val="FC8B00"/>
                <w:sz w:val="24"/>
              </w:rPr>
              <w:t>IFC announced financing for a 100‑megawatt utility‑scale solar facility to accelerate the renewable buildout.</w:t>
            </w:r>
          </w:p>
          <w:p>
            <w:pPr>
              <w:spacing w:before="0" w:after="200"/>
              <w:jc w:val="both"/>
            </w:pPr>
            <w:r>
              <w:rPr>
                <w:rFonts w:ascii="Ubuntu" w:hAnsi="Ubuntu"/>
                <w:b w:val="0"/>
                <w:i w:val="0"/>
                <w:color w:val="000000"/>
                <w:sz w:val="26"/>
              </w:rPr>
              <w:t>The package, partly in local currency via the IDA Private Sector Window, supports a grid‑connected plant expected to generate around 220 GWh annually and create several thousand jobs during implementation, with provision for future storage. Advisory assistance will cover engineering, grid resilience, cybersecurity and sustainability practices to de‑risk replication.</w:t>
            </w:r>
          </w:p>
        </w:tc>
        <w:tc>
          <w:tcPr>
            <w:tcW w:type="dxa" w:w="7699"/>
            <w:tcBorders>
              <w:top w:val="nil"/>
              <w:left w:val="nil"/>
              <w:bottom w:val="nil"/>
              <w:right w:val="nil"/>
              <w:insideH w:val="nil"/>
              <w:insideV w:val="nil"/>
            </w:tcBorders>
          </w:tcPr>
          <w:p/>
          <w:p>
            <w:pPr>
              <w:spacing w:before="0" w:after="80"/>
              <w:jc w:val="left"/>
            </w:pPr>
            <w:r>
              <w:rPr>
                <w:rFonts w:ascii="Ubuntu" w:hAnsi="Ubuntu"/>
                <w:b/>
                <w:i w:val="0"/>
                <w:color w:val="FC8B00"/>
                <w:sz w:val="24"/>
              </w:rPr>
              <w:t>Janashakthi Limited listed 500 million shares on the Main Board after a Rs. 5 billion initial public offering.</w:t>
            </w:r>
          </w:p>
          <w:p>
            <w:pPr>
              <w:spacing w:before="0" w:after="200"/>
              <w:jc w:val="both"/>
            </w:pPr>
            <w:r>
              <w:rPr>
                <w:rFonts w:ascii="Ubuntu" w:hAnsi="Ubuntu"/>
                <w:b w:val="0"/>
                <w:i w:val="0"/>
                <w:color w:val="000000"/>
                <w:sz w:val="26"/>
              </w:rPr>
              <w:t>The issue, the largest flotation in about 14 years and three times oversubscribed, raises capital for expansion in insurance, microfinance and non‑bank financing, debt reduction, and selective regional moves. The group said listing enhances access to capital markets while widening the shareholder base in a recovering economy.</w:t>
            </w:r>
          </w:p>
        </w:tc>
        <w:tc>
          <w:tcPr>
            <w:tcW w:type="dxa" w:w="7699"/>
            <w:tcBorders>
              <w:top w:val="nil"/>
              <w:left w:val="nil"/>
              <w:bottom w:val="nil"/>
              <w:right w:val="nil"/>
              <w:insideH w:val="nil"/>
              <w:insideV w:val="nil"/>
            </w:tcBorders>
          </w:tcPr>
          <w:p/>
          <w:p>
            <w:pPr>
              <w:spacing w:before="0" w:after="80"/>
              <w:jc w:val="left"/>
            </w:pPr>
            <w:r>
              <w:rPr>
                <w:rFonts w:ascii="Ubuntu" w:hAnsi="Ubuntu"/>
                <w:b/>
                <w:i w:val="0"/>
                <w:color w:val="FC8B00"/>
                <w:sz w:val="24"/>
              </w:rPr>
              <w:t>The National Chamber of Exporters launched a nationally accredited Certificate of Ethical Trading endorsed by the standards authority.</w:t>
            </w:r>
          </w:p>
          <w:p>
            <w:pPr>
              <w:spacing w:before="0" w:after="200"/>
              <w:jc w:val="both"/>
            </w:pPr>
            <w:r>
              <w:rPr>
                <w:rFonts w:ascii="Ubuntu" w:hAnsi="Ubuntu"/>
                <w:b w:val="0"/>
                <w:i w:val="0"/>
                <w:color w:val="000000"/>
                <w:sz w:val="26"/>
              </w:rPr>
              <w:t>The upgraded programme, first introduced in 2019 and now aligned with the Sri Lanka Accreditation Board, formalises assessments of governance, labour practices, environmental performance and transparency to meet buyer requirements. Over 100 firms have been certified, with the chamber saying accreditation strengthens credibility in markets where due‑diligence regimes are tightening.</w:t>
            </w:r>
          </w:p>
        </w:tc>
      </w:tr>
      <w:tr>
        <w:tc>
          <w:tcPr>
            <w:tcW w:type="dxa" w:w="7699"/>
            <w:vMerge/>
          </w:tcPr>
          <w:p/>
        </w:tc>
        <w:tc>
          <w:tcPr>
            <w:tcW w:type="dxa" w:w="7699"/>
            <w:tcBorders>
              <w:top w:val="nil"/>
              <w:left w:val="nil"/>
              <w:bottom w:val="nil"/>
              <w:right w:val="nil"/>
              <w:insideH w:val="nil"/>
              <w:insideV w:val="nil"/>
            </w:tcBorders>
          </w:tcPr>
          <w:p/>
          <w:p>
            <w:pPr>
              <w:spacing w:before="0" w:after="80"/>
              <w:jc w:val="left"/>
            </w:pPr>
            <w:r>
              <w:rPr>
                <w:rFonts w:ascii="Ubuntu" w:hAnsi="Ubuntu"/>
                <w:b/>
                <w:i w:val="0"/>
                <w:color w:val="FC8B00"/>
                <w:sz w:val="24"/>
              </w:rPr>
              <w:t>A new Sri Lanka–Nepal Business Council was inaugurated in Colombo to deepen trade and investment links.</w:t>
            </w:r>
          </w:p>
          <w:p>
            <w:pPr>
              <w:spacing w:before="0" w:after="200"/>
              <w:jc w:val="both"/>
            </w:pPr>
            <w:r>
              <w:rPr>
                <w:rFonts w:ascii="Ubuntu" w:hAnsi="Ubuntu"/>
                <w:b w:val="0"/>
                <w:i w:val="0"/>
                <w:color w:val="000000"/>
                <w:sz w:val="26"/>
              </w:rPr>
              <w:t>The platform brings together companies and officials to promote sector‑specific cooperation in tourism, SMEs and handicrafts, facilitate delegations, and push for improvements in air connectivity. Leadership roles were assigned and a digital portal launched to share information and support matchmaking between firms.</w:t>
            </w:r>
          </w:p>
        </w:tc>
        <w:tc>
          <w:tcPr>
            <w:tcW w:type="dxa" w:w="7699"/>
          </w:tcPr>
          <w:p/>
        </w:tc>
        <w:tc>
          <w:tcPr>
            <w:tcW w:type="dxa" w:w="7699"/>
          </w:tcPr>
          <w:p/>
        </w:tc>
      </w:tr>
    </w:tbl>
    <w:sectPr w:rsidR="00FC693F" w:rsidRPr="0006063C" w:rsidSect="00034616">
      <w:footerReference w:type="default" r:id="rId9"/>
      <w:pgSz w:w="33676" w:h="2381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Ubuntu" w:hAnsi="Ubuntu"/>
        <w:b w:val="0"/>
        <w:i/>
        <w:color w:val="8D153A"/>
        <w:sz w:val="18"/>
      </w:rPr>
      <w:t>https://github.com/nuuuwan/lk_news_digest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Ubuntu" w:hAnsi="Ubunt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