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AMENDMENT-2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color w:val="1C1917"/>
          <w:sz w:val="34"/>
          <w:szCs w:val="34"/>
        </w:rPr>
        <w:t xml:space="preserve">Market-cap floor  $5B → $4B</w:t>
      </w:r>
    </w:p>
    <w:p>
      <w:pPr>
        <w:spacing w:after="140" w:before="0" w:line="276"/>
      </w:pPr>
      <w:r>
        <w:rPr>
          <w:rFonts w:ascii="Arial" w:cs="Arial" w:eastAsia="Arial" w:hAnsi="Arial"/>
          <w:color w:val="57534E"/>
          <w:sz w:val="22"/>
          <w:szCs w:val="22"/>
        </w:rPr>
        <w:t xml:space="preserve">Successor root naming Amendment-1 as predecessor. Floor change, not a named exception. No NUVO_SYMBOLS edit. No deploy. Authority remains 2 / PROPOSE ONLY.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Named before it is signed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“Approve ONDS and MARA” and “lower the floor” are different amendments. A named exception is refused. It would make the floor advisory. This packet changes one number so every name in the band is scanned on the same terms.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Register row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shd w:fill="E7E5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Field</w:t>
            </w:r>
          </w:p>
        </w:tc>
        <w:tc>
          <w:tcPr>
            <w:tcW w:type="dxa" w:w="7280"/>
            <w:shd w:fill="E7E5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parameter</w:t>
            </w:r>
          </w:p>
        </w:tc>
        <w:tc>
          <w:tcPr>
            <w:tcW w:type="dxa" w:w="72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minMarketCapUsd</w:t>
            </w:r>
          </w:p>
        </w:tc>
      </w:tr>
      <w:tr>
        <w:tc>
          <w:tcPr>
            <w:tcW w:type="dxa" w:w="28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prior</w:t>
            </w:r>
          </w:p>
        </w:tc>
        <w:tc>
          <w:tcPr>
            <w:tcW w:type="dxa" w:w="728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5e9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now</w:t>
            </w:r>
          </w:p>
        </w:tc>
        <w:tc>
          <w:tcPr>
            <w:tcW w:type="dxa" w:w="72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4e9</w:t>
            </w:r>
          </w:p>
        </w:tc>
      </w:tr>
      <w:tr>
        <w:tc>
          <w:tcPr>
            <w:tcW w:type="dxa" w:w="28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applies_to</w:t>
            </w:r>
          </w:p>
        </w:tc>
        <w:tc>
          <w:tcPr>
            <w:tcW w:type="dxa" w:w="728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SINGLE_NAME only (ETF rows do not run the floor)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source</w:t>
            </w:r>
          </w:p>
        </w:tc>
        <w:tc>
          <w:tcPr>
            <w:tcW w:type="dxa" w:w="72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CHOSEN</w:t>
            </w:r>
          </w:p>
        </w:tc>
      </w:tr>
      <w:tr>
        <w:tc>
          <w:tcPr>
            <w:tcW w:type="dxa" w:w="280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successor root</w:t>
            </w:r>
          </w:p>
        </w:tc>
        <w:tc>
          <w:tcPr>
            <w:tcW w:type="dxa" w:w="7280"/>
            <w:shd w:fill="F5F5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required — predecessor Amendment-1</w:t>
            </w:r>
          </w:p>
        </w:tc>
      </w:tr>
      <w:tr>
        <w:tc>
          <w:tcPr>
            <w:tcW w:type="dxa" w:w="28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carve-out list</w:t>
            </w:r>
          </w:p>
        </w:tc>
        <w:tc>
          <w:tcPr>
            <w:tcW w:type="dxa" w:w="728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none. ONDS and MARA are not named in the gate.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Reason for the record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$5B value was set without evidence of the tradability distribution in the $2–5B band. It was rejecting on size rather than on liquidity. $4B is also CHOSEN and also without a distribution — it is a Principal decision made on the judgment that crypto-adjacent and small-cap names in this band carry chain liquidity comparable to larger names.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Known gap, visible to the next reader: this value was set ahead of the evidence it should rest on.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What it does not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ADV ≥ 500,000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Contract OI ≥ 250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Contract volume ≥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Spread ≤ 8% of mid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History ≥ 504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Whole-tenor earnings blackout (SINGLE_NAME)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First ticket 10% of live custody NAV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Cluster slot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WTO sealed by the Principal per name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name entering on the lowered floor still has to clear all of them. Name-level ADV is not contract-level liquidity. MARA’s chain is generally deep; ONDS is undecided until 14/30/45 spread and OI print.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Cap source (D-3, unchanged)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polygon.v3.reference.tickers/{ticker}?date={session date}. Request date is asOf. last_updated_utc is absent on this payload and is not claimed as a field vintage.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Stock + null cap → MARKET_CAP_UNKNOWN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Stock + cap &lt; 4e9 → MARKET_CAP_LOW · $X vs $4B (value recorded)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ETF → ETF_NO_FLOOR, skip the gate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Run instruction — marketCapBand column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one column: marketCapBand ∈ { ≥5B, 4–5B, 2–4B, &lt;2B, UNKNOWN, ETF_NO_FLOOR }.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Names below $4B still fail MARKET_CAP_LOW, but the band and the dollar value are recorded so the distribution exists after this run. MARKET_CAP_LOW · $3.1B vs $4B is a finding; a bare rejection code is not.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Everything else from the standing mandate holds: live custody NAV (not $175k memo, not Packet 0 freeze unless custody still prints it), RTH, Polygon date= as asOf, one profile, no ranking, chain head captured before and after.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This environment cannot reach Schwab or the production host (host_not_allowed). The dev runs it.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Sunset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Revisit after the probe produces a distribution for the $2–5B band. Raise or lower the floor from evidence. Do not add name exceptions in the meantime.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What to expect on the next table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ONDS ($4.69B, Polygon date=2026-08-27) and MARA ($4.33B, same print) now clear the floor and proceed to the gates that actually decide. Whether they reach the underwriter depends on contract-level spread and OI at 14/30/45 — which is the real question and the one the floor was never answering.</w:t>
      </w:r>
    </w:p>
    <w:p>
      <w:pPr>
        <w:spacing w:after="140" w:before="0" w:line="276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Send the table when it is back. Reach is not admission. NEV remains UNEVALUATED_BY_PROBE.</w:t>
      </w:r>
    </w:p>
    <w:p>
      <w:pPr>
        <w:spacing w:after="140" w:before="200" w:line="276"/>
      </w:pPr>
      <w:r>
        <w:rPr>
          <w:rFonts w:ascii="Arial" w:cs="Arial" w:eastAsia="Arial" w:hAnsi="Arial"/>
          <w:i/>
          <w:iCs/>
          <w:color w:val="57534E"/>
          <w:sz w:val="22"/>
          <w:szCs w:val="22"/>
        </w:rPr>
        <w:t xml:space="preserve">End of Amendment-2.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7534E"/>
        <w:sz w:val="16"/>
        <w:szCs w:val="16"/>
      </w:rPr>
      <w:t xml:space="preserve">Issued 2026-08-27  ·  Page </w:t>
    </w:r>
    <w:r>
      <w:rPr>
        <w:rFonts w:ascii="Arial" w:cs="Arial" w:eastAsia="Arial" w:hAnsi="Arial"/>
        <w:color w:val="57534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Arial" w:cs="Arial" w:eastAsia="Arial" w:hAnsi="Arial"/>
        <w:color w:val="57534E"/>
        <w:sz w:val="16"/>
        <w:szCs w:val="16"/>
      </w:rPr>
      <w:t xml:space="preserve">NUVO VSIM V5  ·  AMENDMENT-2  ·  minMarketCapUsd 5e9 → 4e9  ·  Authority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2026-08-27T19:18:31.953Z</dcterms:created>
  <dcterms:modified xsi:type="dcterms:W3CDTF">2026-08-27T19:18:31.953Z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