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color w:val="6E6579"/>
          <w:sz w:val="22"/>
        </w:rPr>
        <w:t>أمانة — منصّة تنقّل نسائية</w:t>
      </w:r>
    </w:p>
    <w:p>
      <w:pPr>
        <w:bidi/>
        <w:jc w:val="right"/>
      </w:pPr>
      <w:r>
        <w:rPr>
          <w:b/>
          <w:color w:val="5B2C87"/>
          <w:sz w:val="52"/>
        </w:rPr>
        <w:t>الميزانية التقنية التقديرية</w:t>
      </w:r>
    </w:p>
    <w:p>
      <w:pPr>
        <w:bidi/>
        <w:jc w:val="right"/>
      </w:pPr>
      <w:r>
        <w:rPr>
          <w:i w:val="0"/>
          <w:color w:val="6E6579"/>
          <w:sz w:val="22"/>
        </w:rPr>
        <w:t>تكلفة تشغيل الجانب التقني للمنصّة على مدى ثلاث سنوات — البنية السحابية، والذكاء الاصطناعي، والفريق الهندسي. مبنيّة على البنية التقنية المطبَّقة فعليًّا.</w:t>
      </w:r>
    </w:p>
    <w:p>
      <w:pPr>
        <w:bidi/>
        <w:jc w:val="right"/>
      </w:pPr>
      <w:r>
        <w:rPr>
          <w:b/>
          <w:color w:val="A8792F"/>
          <w:sz w:val="40"/>
        </w:rPr>
        <w:t>4,891,590 ريال سعودي</w:t>
      </w:r>
    </w:p>
    <w:p>
      <w:pPr>
        <w:bidi/>
        <w:jc w:val="right"/>
      </w:pPr>
      <w:r>
        <w:rPr>
          <w:i w:val="0"/>
          <w:color w:val="6E6579"/>
          <w:sz w:val="20"/>
        </w:rPr>
        <w:t>إجمالي التكلفة التقنية · 2026 – 2028</w:t>
      </w:r>
    </w:p>
    <w:p>
      <w:pPr>
        <w:bidi/>
        <w:jc w:val="right"/>
      </w:pPr>
      <w:r>
        <w:rPr>
          <w:i/>
          <w:color w:val="6E6579"/>
          <w:sz w:val="18"/>
        </w:rPr>
        <w:t>العملة: ريال سعودي · سعر الصرف المستخدم: 3.75 ريال للدولار. النطاق: التقنية فقط — التسويق وحوافز السائقات والتراخيص والمقرّ خارج هذه الوثيقة.</w:t>
      </w:r>
    </w:p>
    <w:p>
      <w:pPr>
        <w:bidi/>
        <w:spacing w:before="280"/>
        <w:jc w:val="right"/>
      </w:pPr>
      <w:r>
        <w:rPr>
          <w:b/>
          <w:color w:val="5B2C87"/>
          <w:sz w:val="32"/>
        </w:rPr>
        <w:t>فرضيات النموّ</w:t>
      </w:r>
    </w:p>
    <w:p>
      <w:pPr>
        <w:bidi/>
        <w:jc w:val="right"/>
      </w:pPr>
      <w:r>
        <w:rPr>
          <w:i w:val="0"/>
          <w:color w:val="6E6579"/>
          <w:sz w:val="22"/>
        </w:rPr>
        <w:t>كل رقم في هذه الوثيقة مشتقّ من هذه الفرضيات؛ تغييرها يغيّر النتائج بالتناسب.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المؤشّر</w:t>
            </w:r>
          </w:p>
        </w:tc>
        <w:tc>
          <w:tcPr>
            <w:tcW w:type="dxa" w:w="2041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1 — الإطلاق</w:t>
            </w:r>
          </w:p>
        </w:tc>
        <w:tc>
          <w:tcPr>
            <w:tcW w:type="dxa" w:w="2041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2 — النموّ</w:t>
            </w:r>
          </w:p>
        </w:tc>
        <w:tc>
          <w:tcPr>
            <w:tcW w:type="dxa" w:w="2041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3 — التوسّع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المدن المغطّاة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 (الرياض)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 – 7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مستخدمات نشطات شهريًّا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35,000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120,000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سائقات نشطات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1,200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4,000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الرحلات سنويًّا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30,000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300,000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1,000,000</w:t>
            </w:r>
          </w:p>
        </w:tc>
      </w:tr>
    </w:tbl>
    <w:p/>
    <w:p>
      <w:pPr>
        <w:bidi/>
        <w:spacing w:before="280"/>
        <w:jc w:val="right"/>
      </w:pPr>
      <w:r>
        <w:rPr>
          <w:b/>
          <w:color w:val="5B2C87"/>
          <w:sz w:val="32"/>
        </w:rPr>
        <w:t>1) البنية التحتية والخدمات السحابية</w:t>
      </w:r>
    </w:p>
    <w:p>
      <w:pPr>
        <w:bidi/>
        <w:jc w:val="right"/>
      </w:pPr>
      <w:r>
        <w:rPr>
          <w:i w:val="0"/>
          <w:color w:val="6E6579"/>
          <w:sz w:val="22"/>
        </w:rPr>
        <w:t>لا خوادم مملوكة ولا مراكز بيانات — خدمات مُدارة بالكامل تُدفع بالاستهلاك. هذا ما يجعل تكلفة السنة الأولى منخفضة إلى هذا الحدّ.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4252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الخدمة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1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2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3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Supabase — قاعدة البيانات والمصادقة والتخزين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2,250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11,250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34,000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Vercel — لوحة الإدارة وصفحة الهبوط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900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2,250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4,500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Mapbox — الخرائط وحساب المسارات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5,600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135,000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Expo EAS — البناء والتحديث الفوري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4,500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4,500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9,000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رسائل التحقّق (~0.15 ريال/رسالة)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22,500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75,000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المراقبة وتتبّع الأعطال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1,200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2,500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متاجر التطبيقات والنطاق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700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النسخ الاحتياطي والتعافي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10,000</w:t>
            </w:r>
          </w:p>
        </w:tc>
      </w:tr>
      <w:tr>
        <w:tc>
          <w:tcPr>
            <w:tcW w:type="dxa" w:w="4252"/>
            <w:shd w:val="clear" w:fill="F1EAF7"/>
          </w:tcPr>
          <w:p>
            <w:pPr>
              <w:bidi/>
              <w:jc w:val="right"/>
            </w:pPr>
            <w:r/>
            <w:r>
              <w:rPr>
                <w:b/>
                <w:sz w:val="20"/>
              </w:rPr>
              <w:t>الإجمالي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20,150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93,500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273,000</w:t>
            </w:r>
          </w:p>
        </w:tc>
      </w:tr>
    </w:tbl>
    <w:p/>
    <w:p>
      <w:pPr>
        <w:bidi/>
        <w:jc w:val="right"/>
      </w:pPr>
      <w:r>
        <w:rPr>
          <w:i w:val="0"/>
          <w:sz w:val="20"/>
        </w:rPr>
        <w:t>مخاطرة مركَّزة: Mapbox وحده يمثّل نحو نصف فاتورة البنية في السنة الثالثة، لأنّ كل رحلة تستهلك عدّة استدعاءات لحساب المسار. التخفيف: تخزين المسارات المتكرّرة مؤقّتًا، وتقليل تكرار إعادة الحساب أثناء الرحلة، وعقد سنوي بالحجم — مجتمعةً توفّر 30–40٪.</w:t>
      </w:r>
    </w:p>
    <w:p>
      <w:pPr>
        <w:bidi/>
        <w:spacing w:before="280"/>
        <w:jc w:val="right"/>
      </w:pPr>
      <w:r>
        <w:rPr>
          <w:b/>
          <w:color w:val="5B2C87"/>
          <w:sz w:val="32"/>
        </w:rPr>
        <w:t>2) الذكاء الاصطناعي</w:t>
      </w:r>
    </w:p>
    <w:p>
      <w:pPr>
        <w:bidi/>
        <w:jc w:val="right"/>
      </w:pPr>
      <w:r>
        <w:rPr>
          <w:i w:val="0"/>
          <w:color w:val="6E6579"/>
          <w:sz w:val="22"/>
        </w:rPr>
        <w:t>السنة الأولى تعتمد على نماذج جاهزة عبر واجهات برمجية — أرخص بعشرات المرّات من التدريب الخاص وكافية تمامًا. التدريب المخصّص يبدأ في السنة الثانية بعد تراكم بيانات حقيقية، ويُنفَّذ كمشروع خارجي محدّد المدّة لا كوظيفة دائمة.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4252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1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2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3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استدعاءات النماذج اللغوية — مخطّط الرحلات والدعم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2,250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45,000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تدريب نموذج خاص (ضبط دقيق)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56,000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112,000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وسم البيانات وإعدادها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35,000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نماذج التنبّؤ — الطلب والتسعير والمطابقة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55,000</w:t>
            </w:r>
          </w:p>
        </w:tc>
      </w:tr>
      <w:tr>
        <w:tc>
          <w:tcPr>
            <w:tcW w:type="dxa" w:w="4252"/>
            <w:shd w:val="clear" w:fill="F1EAF7"/>
          </w:tcPr>
          <w:p>
            <w:pPr>
              <w:bidi/>
              <w:jc w:val="right"/>
            </w:pPr>
            <w:r/>
            <w:r>
              <w:rPr>
                <w:b/>
                <w:sz w:val="20"/>
              </w:rPr>
              <w:t>الإجمالي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2,250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116,000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247,000</w:t>
            </w:r>
          </w:p>
        </w:tc>
      </w:tr>
    </w:tbl>
    <w:p/>
    <w:p>
      <w:pPr>
        <w:bidi/>
        <w:spacing w:before="280"/>
        <w:jc w:val="right"/>
      </w:pPr>
      <w:r>
        <w:rPr>
          <w:b/>
          <w:color w:val="5B2C87"/>
          <w:sz w:val="32"/>
        </w:rPr>
        <w:t>3) الفريق التقني</w:t>
      </w:r>
    </w:p>
    <w:p>
      <w:pPr>
        <w:bidi/>
        <w:jc w:val="right"/>
      </w:pPr>
      <w:r>
        <w:rPr>
          <w:i w:val="0"/>
          <w:color w:val="6E6579"/>
          <w:sz w:val="22"/>
        </w:rPr>
        <w:t>فريق ثابت من ثمانية أفراد عبر السنوات الثلاث — دور واحد لكل تخصّص جوهري، بلا توسّع في الهيكل. الأرقام شاملة التأمينات الاجتماعية ومكافأة نهاية الخدمة والتأمين الطبي (+20٪ فوق الأساسي) وزيادة سنوية 7٪.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الدور</w:t>
            </w:r>
          </w:p>
        </w:tc>
        <w:tc>
          <w:tcPr>
            <w:tcW w:type="dxa" w:w="130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الراتب/شهر</w:t>
            </w:r>
          </w:p>
        </w:tc>
        <w:tc>
          <w:tcPr>
            <w:tcW w:type="dxa" w:w="850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العدد</w:t>
            </w:r>
          </w:p>
        </w:tc>
        <w:tc>
          <w:tcPr>
            <w:tcW w:type="dxa" w:w="147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1</w:t>
            </w:r>
          </w:p>
        </w:tc>
        <w:tc>
          <w:tcPr>
            <w:tcW w:type="dxa" w:w="147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2</w:t>
            </w:r>
          </w:p>
        </w:tc>
        <w:tc>
          <w:tcPr>
            <w:tcW w:type="dxa" w:w="147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3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قائد تقني (CTO)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18,000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259,200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277,300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296,400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مطوّر تقني (Full-stack)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13,000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187,200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200,400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214,200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مطوّر تقني مساعد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8,000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230,400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246,600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263,500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دعم فنّي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6,000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345,600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370,700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395,900</w:t>
            </w:r>
          </w:p>
        </w:tc>
      </w:tr>
      <w:tr>
        <w:tc>
          <w:tcPr>
            <w:tcW w:type="dxa" w:w="2608"/>
            <w:shd w:val="clear" w:fill="F1EAF7"/>
          </w:tcPr>
          <w:p>
            <w:pPr>
              <w:bidi/>
              <w:jc w:val="right"/>
            </w:pPr>
            <w:r/>
            <w:r>
              <w:rPr>
                <w:b/>
                <w:sz w:val="20"/>
              </w:rPr>
              <w:t>الإجمالي</w:t>
            </w:r>
          </w:p>
        </w:tc>
        <w:tc>
          <w:tcPr>
            <w:tcW w:type="dxa" w:w="130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71,000</w:t>
            </w:r>
          </w:p>
        </w:tc>
        <w:tc>
          <w:tcPr>
            <w:tcW w:type="dxa" w:w="850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147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1,020,000</w:t>
            </w:r>
          </w:p>
        </w:tc>
        <w:tc>
          <w:tcPr>
            <w:tcW w:type="dxa" w:w="147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1,095,000</w:t>
            </w:r>
          </w:p>
        </w:tc>
        <w:tc>
          <w:tcPr>
            <w:tcW w:type="dxa" w:w="147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1,170,000</w:t>
            </w:r>
          </w:p>
        </w:tc>
      </w:tr>
    </w:tbl>
    <w:p/>
    <w:p>
      <w:pPr>
        <w:bidi/>
        <w:jc w:val="right"/>
      </w:pPr>
      <w:r>
        <w:rPr>
          <w:i w:val="0"/>
          <w:sz w:val="20"/>
        </w:rPr>
        <w:t>لماذا فريق بهذا الحجم كافٍ: البنية تعتمد خدمات سحابية مُدارة بالكامل فلا حاجة لفريق تشغيل خوادم، والدعم الذكي المدمج في التطبيق يمتصّ الاستفسارات المتكرّرة فيتفرّغ الدعم الفنّي للحالات التي تحتاج إنسانًا فعلًا.</w:t>
      </w:r>
    </w:p>
    <w:p>
      <w:pPr>
        <w:bidi/>
        <w:spacing w:before="280"/>
        <w:jc w:val="right"/>
      </w:pPr>
      <w:r>
        <w:rPr>
          <w:b/>
          <w:color w:val="5B2C87"/>
          <w:sz w:val="32"/>
        </w:rPr>
        <w:t>4) الأمن والامتثال والأدوات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4252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1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2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3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اختبار اختراق ومراجعة أمنية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45,000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الامتثال لنظام حماية البيانات الشخصية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تراخيص الأدوات وبيئة العمل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60,000</w:t>
            </w:r>
          </w:p>
        </w:tc>
      </w:tr>
      <w:tr>
        <w:tc>
          <w:tcPr>
            <w:tcW w:type="dxa" w:w="425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أجهزة الفريق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50,000</w:t>
            </w:r>
          </w:p>
        </w:tc>
      </w:tr>
      <w:tr>
        <w:tc>
          <w:tcPr>
            <w:tcW w:type="dxa" w:w="4252"/>
            <w:shd w:val="clear" w:fill="F1EAF7"/>
          </w:tcPr>
          <w:p>
            <w:pPr>
              <w:bidi/>
              <w:jc w:val="right"/>
            </w:pPr>
            <w:r/>
            <w:r>
              <w:rPr>
                <w:b/>
                <w:sz w:val="20"/>
              </w:rPr>
              <w:t>الإجمالي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120,000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115,000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175,000</w:t>
            </w:r>
          </w:p>
        </w:tc>
      </w:tr>
    </w:tbl>
    <w:p/>
    <w:p>
      <w:r>
        <w:br w:type="page"/>
      </w:r>
    </w:p>
    <w:p>
      <w:pPr>
        <w:bidi/>
        <w:spacing w:before="0"/>
        <w:jc w:val="right"/>
      </w:pPr>
      <w:r>
        <w:rPr>
          <w:b/>
          <w:color w:val="5B2C87"/>
          <w:sz w:val="36"/>
        </w:rPr>
        <w:t>الملخّص التنفيذي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9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1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2</w:t>
            </w:r>
          </w:p>
        </w:tc>
        <w:tc>
          <w:tcPr>
            <w:tcW w:type="dxa" w:w="1644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3</w:t>
            </w:r>
          </w:p>
        </w:tc>
        <w:tc>
          <w:tcPr>
            <w:tcW w:type="dxa" w:w="1757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الإجمالي</w:t>
            </w:r>
          </w:p>
        </w:tc>
      </w:tr>
      <w:tr>
        <w:tc>
          <w:tcPr>
            <w:tcW w:type="dxa" w:w="2494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البنية التحتية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20,150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93,500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273,000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386,650</w:t>
            </w:r>
          </w:p>
        </w:tc>
      </w:tr>
      <w:tr>
        <w:tc>
          <w:tcPr>
            <w:tcW w:type="dxa" w:w="2494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الذكاء الاصطناعي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2,250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116,000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247,000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365,250</w:t>
            </w:r>
          </w:p>
        </w:tc>
      </w:tr>
      <w:tr>
        <w:tc>
          <w:tcPr>
            <w:tcW w:type="dxa" w:w="2494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الفريق التقني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1,020,000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1,095,000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1,170,000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3,285,000</w:t>
            </w:r>
          </w:p>
        </w:tc>
      </w:tr>
      <w:tr>
        <w:tc>
          <w:tcPr>
            <w:tcW w:type="dxa" w:w="2494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الأمن والأدوات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120,000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115,000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175,000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410,000</w:t>
            </w:r>
          </w:p>
        </w:tc>
      </w:tr>
      <w:tr>
        <w:tc>
          <w:tcPr>
            <w:tcW w:type="dxa" w:w="2494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احتياطي طوارئ 10٪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116,240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141,950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186,500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444,690</w:t>
            </w:r>
          </w:p>
        </w:tc>
      </w:tr>
      <w:tr>
        <w:tc>
          <w:tcPr>
            <w:tcW w:type="dxa" w:w="2494"/>
            <w:shd w:val="clear" w:fill="F1EAF7"/>
          </w:tcPr>
          <w:p>
            <w:pPr>
              <w:bidi/>
              <w:jc w:val="right"/>
            </w:pPr>
            <w:r/>
            <w:r>
              <w:rPr>
                <w:b/>
                <w:sz w:val="20"/>
              </w:rPr>
              <w:t>الإجمالي النهائي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1,278,640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1,561,450</w:t>
            </w:r>
          </w:p>
        </w:tc>
        <w:tc>
          <w:tcPr>
            <w:tcW w:type="dxa" w:w="1644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2,051,500</w:t>
            </w:r>
          </w:p>
        </w:tc>
        <w:tc>
          <w:tcPr>
            <w:tcW w:type="dxa" w:w="1757"/>
            <w:shd w:val="clear" w:fill="F1EAF7"/>
          </w:tcPr>
          <w:p>
            <w:pPr>
              <w:jc w:val="left"/>
            </w:pPr>
            <w:r/>
            <w:r>
              <w:rPr>
                <w:b/>
                <w:sz w:val="20"/>
              </w:rPr>
              <w:t>4,891,590</w:t>
            </w:r>
          </w:p>
        </w:tc>
      </w:tr>
    </w:tbl>
    <w:p/>
    <w:p>
      <w:pPr>
        <w:bidi/>
        <w:spacing w:before="280"/>
        <w:jc w:val="right"/>
      </w:pPr>
      <w:r>
        <w:rPr>
          <w:b/>
          <w:color w:val="5B2C87"/>
          <w:sz w:val="26"/>
        </w:rPr>
        <w:t>الأطروحة الاستثمارية — تكلفة الرحلة الواحدة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المؤشّر</w:t>
            </w:r>
          </w:p>
        </w:tc>
        <w:tc>
          <w:tcPr>
            <w:tcW w:type="dxa" w:w="1928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1</w:t>
            </w:r>
          </w:p>
        </w:tc>
        <w:tc>
          <w:tcPr>
            <w:tcW w:type="dxa" w:w="1928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2</w:t>
            </w:r>
          </w:p>
        </w:tc>
        <w:tc>
          <w:tcPr>
            <w:tcW w:type="dxa" w:w="1928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السنة 3</w:t>
            </w:r>
          </w:p>
        </w:tc>
      </w:tr>
      <w:tr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الرحلات سنويًّا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30,000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300,000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1,000,000</w:t>
            </w:r>
          </w:p>
        </w:tc>
      </w:tr>
      <w:tr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التكلفة التقنية لكل رحلة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42.6 ريال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5.2 ريال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2.1 ريال</w:t>
            </w:r>
          </w:p>
        </w:tc>
      </w:tr>
    </w:tbl>
    <w:p/>
    <w:p>
      <w:pPr>
        <w:bidi/>
        <w:jc w:val="right"/>
      </w:pPr>
      <w:r>
        <w:rPr>
          <w:i w:val="0"/>
          <w:sz w:val="20"/>
        </w:rPr>
        <w:t>انخفاض 95٪ — الفريق والبنية نفسهما يخدمان 30 ألف رحلة أو مليون رحلة. هذا أقوى رقم في العرض: يُظهر اقتصاديات حجم حقيقية، وهو ما يبحث عنه المستثمر بالضبط.</w:t>
      </w:r>
    </w:p>
    <w:p>
      <w:pPr>
        <w:bidi/>
        <w:spacing w:before="280"/>
        <w:jc w:val="right"/>
      </w:pPr>
      <w:r>
        <w:rPr>
          <w:b/>
          <w:color w:val="5B2C87"/>
          <w:sz w:val="32"/>
        </w:rPr>
        <w:t>بنود خارج هذه الوثيقة</w:t>
      </w:r>
    </w:p>
    <w:p>
      <w:pPr>
        <w:bidi/>
        <w:jc w:val="right"/>
      </w:pPr>
      <w:r>
        <w:rPr>
          <w:i w:val="0"/>
          <w:color w:val="6E6579"/>
          <w:sz w:val="22"/>
        </w:rPr>
        <w:t>تُدرج في ميزانيات منفصلة حتى تبقى الأرقام أعلاه قابلة للمقارنة والمساءلة.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3118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6066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سبب الفصل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رسوم بوّابة الدفع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2.5٪ + ريال لكل عملية — تُخصم من الإيراد لا من التشغيل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ترخيص الهيئة العامة للنقل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تكلفة تنظيمية لا تقنية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التسويق واكتساب المستخدمات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ميزانية نموّ منفصلة — غالبًا الأكبر في هذا القطاع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حوافز السائقات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تكلفة اكتساب عرض، تُقاس بمقاييس مختلفة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المقرّ والإداريّون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مصاريف عمومية</w:t>
            </w:r>
          </w:p>
        </w:tc>
      </w:tr>
    </w:tbl>
    <w:p/>
    <w:p>
      <w:pPr>
        <w:bidi/>
        <w:spacing w:before="280"/>
        <w:jc w:val="right"/>
      </w:pPr>
      <w:r>
        <w:rPr>
          <w:b/>
          <w:color w:val="5B2C87"/>
          <w:sz w:val="32"/>
        </w:rPr>
        <w:t>ثلاث فرص لخفض التكلفة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5386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الفرصة</w:t>
            </w:r>
          </w:p>
        </w:tc>
        <w:tc>
          <w:tcPr>
            <w:tcW w:type="dxa" w:w="3798"/>
            <w:shd w:val="clear" w:fill="5B2C87"/>
          </w:tcPr>
          <w:p>
            <w:pPr>
              <w:bidi/>
              <w:jc w:val="right"/>
            </w:pPr>
            <w:r/>
            <w:r>
              <w:rPr>
                <w:b/>
                <w:color w:val="FFFFFF"/>
                <w:sz w:val="20"/>
              </w:rPr>
              <w:t>التوفير التقديري</w:t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دعم توظيف الكوادر الوطنية — حتى 30٪ من رواتب الكوادر السعودية</w:t>
            </w:r>
          </w:p>
        </w:tc>
        <w:tc>
          <w:tcPr>
            <w:tcW w:type="dxa" w:w="379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≈ 620,000 ريال على 3 سنوات</w:t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أرصدة الشركات الناشئة من مزوّدي السحابة (5–100 ألف دولار)</w:t>
            </w:r>
          </w:p>
        </w:tc>
        <w:tc>
          <w:tcPr>
            <w:tcW w:type="dxa" w:w="379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تغطية شبه كاملة لبنية السنة الأولى</w:t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b w:val="0"/>
                <w:sz w:val="20"/>
              </w:rPr>
              <w:t>تخزين مسارات Mapbox مؤقّتًا</w:t>
            </w:r>
          </w:p>
        </w:tc>
        <w:tc>
          <w:tcPr>
            <w:tcW w:type="dxa" w:w="379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30–40٪ من أكبر بند متغيّر</w:t>
            </w:r>
          </w:p>
        </w:tc>
      </w:tr>
    </w:tbl>
    <w:p/>
    <w:p>
      <w:pPr>
        <w:bidi/>
        <w:jc w:val="right"/>
      </w:pPr>
      <w:r>
        <w:rPr>
          <w:i/>
          <w:color w:val="6E6579"/>
          <w:sz w:val="18"/>
        </w:rPr>
        <w:t>أرقام تخطيطية تُراجَع عند تثبيت عقود المورّدين · إعداد الفريق التقني — أمانة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