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20962E">
      <w:pPr>
        <w:suppressLineNumbers w:val="false"/>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jc w:val="left"/>
        <w:rPr>
          <w:rFonts w:ascii="Arial" w:hAnsi="Arial" w:cs="Arial"/>
          <w:color w:val="000000" w:themeColor="text1"/>
          <w:sz w:val="32"/>
          <w:szCs w:val="32"/>
        </w:rPr>
      </w:pPr>
      <w:r>
        <w:rPr>
          <w:rFonts w:ascii="Arial" w:hAnsi="Arial" w:eastAsia="Arial" w:cs="Arial"/>
          <w:b/>
          <w:bCs/>
          <w:i w:val="0"/>
          <w:color w:val="000000" w:themeColor="text1"/>
          <w:sz w:val="32"/>
          <w:szCs w:val="32"/>
        </w:rPr>
        <w:t xml:space="preserve">CHAPTER 2: LITERATURE REVIEW</w:t>
      </w:r>
      <w:r>
        <w:rPr>
          <w:rFonts w:ascii="Arial" w:hAnsi="Arial" w:cs="Arial"/>
          <w:color w:val="000000" w:themeColor="text1"/>
          <w:sz w:val="32"/>
          <w:szCs w:val="32"/>
        </w:rPr>
      </w:r>
      <w:r>
        <w:rPr>
          <w:rFonts w:ascii="Arial" w:hAnsi="Arial" w:cs="Arial"/>
          <w:color w:val="000000" w:themeColor="text1"/>
          <w:sz w:val="32"/>
          <w:szCs w:val="32"/>
        </w:rPr>
      </w:r>
    </w:p>
    <w:p w14:paraId="4764324B">
      <w:pPr>
        <w:pStyle w:val="857"/>
        <w:pBdr/>
        <w:spacing w:after="120" w:before="120" w:line="360" w:lineRule="auto"/>
        <w:ind/>
        <w:jc w:val="both"/>
        <w:rPr>
          <w:bCs/>
          <w:i/>
          <w:color w:val="000000" w:themeColor="text1"/>
          <w:sz w:val="24"/>
          <w:szCs w:val="24"/>
        </w:rPr>
      </w:pPr>
      <w:r>
        <w:rPr>
          <w:rFonts w:ascii="Arial" w:hAnsi="Arial" w:eastAsia="Arial" w:cs="Arial"/>
          <w:b/>
          <w:bCs/>
          <w:i/>
          <w:iCs/>
          <w:color w:val="000000" w:themeColor="text1"/>
          <w:sz w:val="24"/>
          <w:szCs w:val="24"/>
        </w:rPr>
        <w:t xml:space="preserve">2.1 Introduction</w:t>
      </w:r>
      <w:r>
        <w:rPr>
          <w:bCs/>
          <w:i/>
          <w:iCs/>
          <w:color w:val="000000" w:themeColor="text1"/>
          <w:sz w:val="24"/>
          <w:szCs w:val="24"/>
        </w:rPr>
      </w:r>
      <w:r>
        <w:rPr>
          <w:bCs/>
          <w:i/>
          <w:color w:val="000000" w:themeColor="text1"/>
          <w:sz w:val="24"/>
          <w:szCs w:val="24"/>
        </w:rPr>
      </w:r>
    </w:p>
    <w:p w14:paraId="08F50F73">
      <w:pPr>
        <w:pBdr/>
        <w:spacing w:after="120" w:before="120" w:line="360" w:lineRule="auto"/>
        <w:ind/>
        <w:jc w:val="both"/>
        <w:rPr/>
      </w:pPr>
      <w:r>
        <w:rPr>
          <w:rFonts w:ascii="Arial" w:hAnsi="Arial" w:eastAsia="Arial" w:cs="Arial"/>
          <w:sz w:val="24"/>
          <w:szCs w:val="24"/>
        </w:rPr>
        <w:t xml:space="preserve">Access control and identity and access management (IAM) risk research has grown rapidly between 2022 to 2026, producing detection methods, adaptive authentication systems and decentralized identity </w:t>
      </w:r>
      <w:r>
        <w:rPr>
          <w:rFonts w:ascii="Arial" w:hAnsi="Arial" w:eastAsia="Arial" w:cs="Arial"/>
          <w:sz w:val="24"/>
          <w:szCs w:val="24"/>
        </w:rPr>
        <w:t xml:space="preserve">architectures that each report strong technical performance. However, addressing risk within Governance, Risk and Compliance (GRC) requires more than technical accuracy: risk information must be expressed in organisational terms such as likelihood, impact,</w:t>
      </w:r>
      <w:r>
        <w:rPr>
          <w:rFonts w:ascii="Arial" w:hAnsi="Arial" w:eastAsia="Arial" w:cs="Arial"/>
          <w:sz w:val="24"/>
          <w:szCs w:val="24"/>
        </w:rPr>
        <w:t xml:space="preserve"> risk ownership, treatment and control mapping so that it can be entered into a working risk register. This chapter synthesises the existing literature on IAM and access-control risk assessment into thematic groupings, compares approaches on their risk</w:t>
      </w:r>
      <w:r>
        <w:rPr>
          <w:rFonts w:ascii="Arial" w:hAnsi="Arial" w:eastAsia="Arial" w:cs="Arial"/>
          <w:sz w:val="24"/>
          <w:szCs w:val="24"/>
        </w:rPr>
        <w:t xml:space="preserve"> basis and reported strengths, and then narrows the discussion to how far current work actually connects technical IAM findings to formal GRC processes. The chapter closes by identifying the research gap that motivates the prototype proposed in this study.</w:t>
      </w:r>
      <w:r/>
    </w:p>
    <w:p w14:paraId="79880B6C">
      <w:pPr>
        <w:pStyle w:val="857"/>
        <w:pBdr/>
        <w:spacing w:after="120" w:before="120" w:line="360" w:lineRule="auto"/>
        <w:ind/>
        <w:jc w:val="both"/>
        <w:rPr>
          <w:bCs/>
          <w:i/>
          <w:color w:val="000000" w:themeColor="text1"/>
          <w:sz w:val="24"/>
          <w:szCs w:val="24"/>
        </w:rPr>
      </w:pPr>
      <w:r>
        <w:rPr>
          <w:rFonts w:ascii="Arial" w:hAnsi="Arial" w:eastAsia="Arial" w:cs="Arial"/>
          <w:b/>
          <w:bCs/>
          <w:i/>
          <w:iCs/>
          <w:color w:val="000000" w:themeColor="text1"/>
          <w:sz w:val="24"/>
          <w:szCs w:val="24"/>
        </w:rPr>
        <w:t xml:space="preserve">2.2 Existing Approaches to IAM and Access-Control Risk Assessment</w:t>
      </w:r>
      <w:r>
        <w:rPr>
          <w:i/>
          <w:iCs/>
          <w:color w:val="000000" w:themeColor="text1"/>
          <w:sz w:val="24"/>
          <w:szCs w:val="24"/>
        </w:rPr>
      </w:r>
      <w:r>
        <w:rPr>
          <w:bCs/>
          <w:i/>
          <w:color w:val="000000" w:themeColor="text1"/>
          <w:sz w:val="24"/>
          <w:szCs w:val="24"/>
        </w:rPr>
      </w:r>
    </w:p>
    <w:p w14:paraId="603AF822">
      <w:pPr>
        <w:pBdr/>
        <w:spacing w:after="120" w:before="120" w:line="360" w:lineRule="auto"/>
        <w:ind/>
        <w:jc w:val="both"/>
        <w:rPr/>
      </w:pPr>
      <w:r>
        <w:rPr>
          <w:rFonts w:ascii="Arial" w:hAnsi="Arial" w:eastAsia="Arial" w:cs="Arial"/>
          <w:sz w:val="24"/>
          <w:szCs w:val="24"/>
        </w:rPr>
        <w:t xml:space="preserve">A substantial body of work addresses identity governance and privilege management, focusing on detecting excessive, stale or inappropriate entitlements across an identity's life cycle. Durdağ and Coşkunçay (2025) apply agglo</w:t>
      </w:r>
      <w:r>
        <w:rPr>
          <w:rFonts w:ascii="Arial" w:hAnsi="Arial" w:eastAsia="Arial" w:cs="Arial"/>
          <w:sz w:val="24"/>
          <w:szCs w:val="24"/>
        </w:rPr>
        <w:t xml:space="preserve">merative hierarchical clustering to masked role-based access control (RBAC) records from ten software-company clients to recommend role restructuring, while Bittard et al. (2025) report an average of 90% detection accuracy and over 95% correction of privil</w:t>
      </w:r>
      <w:r>
        <w:rPr>
          <w:rFonts w:ascii="Arial" w:hAnsi="Arial" w:eastAsia="Arial" w:cs="Arial"/>
          <w:sz w:val="24"/>
          <w:szCs w:val="24"/>
        </w:rPr>
        <w:t xml:space="preserve">ege creep using role mining on synthetic RBAC data, alongside meaningful reduction on real-world data. At the infrastructure level, Gu et al. (2025) apply static program analysis to 108 Cloud Native Computing Foundation applications, confirming that 106 of</w:t>
      </w:r>
      <w:r>
        <w:rPr>
          <w:rFonts w:ascii="Arial" w:hAnsi="Arial" w:eastAsia="Arial" w:cs="Arial"/>
          <w:sz w:val="24"/>
          <w:szCs w:val="24"/>
        </w:rPr>
        <w:t xml:space="preserve"> 112 flagged Kubernetes pods (94.6%) genuinely held permissions beyond their apparent need. These studies demonstrate that entitlement risk can be discovered reliably at scale, but the outputs remain technical flags rather than structured risk information.</w:t>
      </w:r>
      <w:r/>
    </w:p>
    <w:p w14:paraId="201CD673">
      <w:pPr>
        <w:pBdr/>
        <w:spacing w:after="120" w:before="120" w:line="360" w:lineRule="auto"/>
        <w:ind/>
        <w:jc w:val="both"/>
        <w:rPr/>
      </w:pPr>
      <w:r>
        <w:rPr>
          <w:rFonts w:ascii="Arial" w:hAnsi="Arial" w:eastAsia="Arial" w:cs="Arial"/>
          <w:sz w:val="24"/>
          <w:szCs w:val="24"/>
        </w:rPr>
        <w:t xml:space="preserve">A second stream shifts the basis of access decisions from static roles to contextual and beh</w:t>
      </w:r>
      <w:r>
        <w:rPr>
          <w:rFonts w:ascii="Arial" w:hAnsi="Arial" w:eastAsia="Arial" w:cs="Arial"/>
          <w:sz w:val="24"/>
          <w:szCs w:val="24"/>
        </w:rPr>
        <w:t xml:space="preserve">avioural risk scoring. Ozdenizci Kose et al. (2023) propose a risk-score-based corporate access control system that evaluates parameters such as login time, location, device and behavioural patterns to decide whether to authorise access, escalate to multi-</w:t>
      </w:r>
      <w:r>
        <w:rPr>
          <w:rFonts w:ascii="Arial" w:hAnsi="Arial" w:eastAsia="Arial" w:cs="Arial"/>
          <w:sz w:val="24"/>
          <w:szCs w:val="24"/>
        </w:rPr>
        <w:t xml:space="preserve">factor authentication, or suspend an account, while Ayman et al. (2023) combine attribute-based access control with risk-adaptive elements so that user, device and network conditions influence whether access is allowed, challenged or denied. Papaioannou et</w:t>
      </w:r>
      <w:r>
        <w:rPr>
          <w:rFonts w:ascii="Arial" w:hAnsi="Arial" w:eastAsia="Arial" w:cs="Arial"/>
          <w:sz w:val="24"/>
          <w:szCs w:val="24"/>
        </w:rPr>
        <w:t xml:space="preserve"> al. (2023) report an F1-score of 0.98 using outlier detection for mobile authentication, and Batache et al. (2025) report F1-scores and AUC values near 0.99 for a multi-layer machine-learning framework classifying Internet of Things (IoT) login sessions. </w:t>
      </w:r>
      <w:r>
        <w:rPr>
          <w:rFonts w:ascii="Arial" w:hAnsi="Arial" w:eastAsia="Arial" w:cs="Arial"/>
          <w:sz w:val="24"/>
          <w:szCs w:val="24"/>
        </w:rPr>
        <w:t xml:space="preserve">While these results indicate strong classification performance, the authors note reliance on synthetic or scenario-based data and manually tuned thresholds, which limits confidence that the same score would map consistently to an organisational risk level.</w:t>
      </w:r>
      <w:r/>
    </w:p>
    <w:p w14:paraId="6CC82359">
      <w:pPr>
        <w:pBdr/>
        <w:spacing w:after="120" w:before="120" w:line="360" w:lineRule="auto"/>
        <w:ind/>
        <w:jc w:val="both"/>
        <w:rPr/>
      </w:pPr>
      <w:r>
        <w:rPr>
          <w:rFonts w:ascii="Arial" w:hAnsi="Arial" w:eastAsia="Arial" w:cs="Arial"/>
          <w:sz w:val="24"/>
          <w:szCs w:val="24"/>
        </w:rPr>
        <w:t xml:space="preserve">Zero Trust research extends this logic into continuous re-evaluat</w:t>
      </w:r>
      <w:r>
        <w:rPr>
          <w:rFonts w:ascii="Arial" w:hAnsi="Arial" w:eastAsia="Arial" w:cs="Arial"/>
          <w:sz w:val="24"/>
          <w:szCs w:val="24"/>
        </w:rPr>
        <w:t xml:space="preserve">ion rather than a one-time decision. Yunanto and Pao (2022) evaluate user risk continuously from Apache web-server logs, and Bradatsch et al. (2023) combine 29 trust attributes with a dynamic, Subjective-Logic-based threshold for network-level access decis</w:t>
      </w:r>
      <w:r>
        <w:rPr>
          <w:rFonts w:ascii="Arial" w:hAnsi="Arial" w:eastAsia="Arial" w:cs="Arial"/>
          <w:sz w:val="24"/>
          <w:szCs w:val="24"/>
        </w:rPr>
        <w:t xml:space="preserve">ions, reporting approximately 7% additional decision time relative to a static threshold. Decentralized identity approaches take a different architectural direction: Čučko and Turkanović (2025) show that Self-Sovereign Identity and Verifiable Credentials s</w:t>
      </w:r>
      <w:r>
        <w:rPr>
          <w:rFonts w:ascii="Arial" w:hAnsi="Arial" w:eastAsia="Arial" w:cs="Arial"/>
          <w:sz w:val="24"/>
          <w:szCs w:val="24"/>
        </w:rPr>
        <w:t xml:space="preserve">upport access delegation without a central identity provider, while Waheed and Khan (2026) use a large language model to generate a risk score prior to enforcing attribute-based access control, reporting 94.7% policy accuracy. Asiri et al. (2024) combine b</w:t>
      </w:r>
      <w:r>
        <w:rPr>
          <w:rFonts w:ascii="Arial" w:hAnsi="Arial" w:eastAsia="Arial" w:cs="Arial"/>
          <w:sz w:val="24"/>
          <w:szCs w:val="24"/>
        </w:rPr>
        <w:t xml:space="preserve">lockchain-based access management with deep-learning threat detection for IoT ecosystems. Across both streams, the reported strengths are technical and platform-specific, and none of the studies extend their output into a likelihood-and-impact risk format.</w:t>
      </w:r>
      <w:r/>
    </w:p>
    <w:p w14:paraId="4C0EC501">
      <w:pPr>
        <w:pBdr/>
        <w:spacing w:after="120" w:before="120" w:line="360" w:lineRule="auto"/>
        <w:ind/>
        <w:jc w:val="both"/>
        <w:rPr>
          <w:rFonts w:ascii="Times New Roman" w:hAnsi="Times New Roman" w:eastAsia="Times New Roman" w:cs="Times New Roman"/>
          <w:sz w:val="24"/>
          <w:szCs w:val="24"/>
          <w:highlight w:val="none"/>
        </w:rPr>
      </w:pPr>
      <w:r>
        <w:rPr>
          <w:rFonts w:ascii="Arial" w:hAnsi="Arial" w:eastAsia="Arial" w:cs="Arial"/>
          <w:sz w:val="24"/>
          <w:szCs w:val="24"/>
        </w:rPr>
        <w:t xml:space="preserve">Underlying all four streams is a broader, practitioner-facing concern: Badirova et al. (2023) identify trust, interoperability and revocation as recurring IAM challenges across centraliz</w:t>
      </w:r>
      <w:r>
        <w:rPr>
          <w:rFonts w:ascii="Arial" w:hAnsi="Arial" w:eastAsia="Arial" w:cs="Arial"/>
          <w:sz w:val="24"/>
          <w:szCs w:val="24"/>
        </w:rPr>
        <w:t xml:space="preserve">ed, federated and decentralized configurations, while Singh et al. (2024) report that 45 cybersecurity professionals express ongoing apprehension about IAM implementation and its security outcomes. These practitioner-oriented findings reinforce the technic</w:t>
      </w:r>
      <w:r>
        <w:rPr>
          <w:rFonts w:ascii="Arial" w:hAnsi="Arial" w:eastAsia="Arial" w:cs="Arial"/>
          <w:sz w:val="24"/>
          <w:szCs w:val="24"/>
        </w:rPr>
        <w:t xml:space="preserve">al evidence above: entitlement, authentication and trust problems are widely recognised as significant, yet the surveyed practitioners describe them as persistent operational concerns rather than issues with an established organisational reporting pathway.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27FDFE5">
      <w:pPr>
        <w:pStyle w:val="857"/>
        <w:pBdr/>
        <w:spacing w:after="120" w:before="120" w:line="360" w:lineRule="auto"/>
        <w:ind/>
        <w:jc w:val="both"/>
        <w:rPr>
          <w:bCs/>
          <w:i/>
          <w:color w:val="000000" w:themeColor="text1"/>
          <w:sz w:val="24"/>
          <w:szCs w:val="24"/>
        </w:rPr>
      </w:pPr>
      <w:r>
        <w:rPr>
          <w:rFonts w:ascii="Arial" w:hAnsi="Arial" w:eastAsia="Arial" w:cs="Arial"/>
          <w:b/>
          <w:bCs/>
          <w:i/>
          <w:iCs/>
          <w:color w:val="000000" w:themeColor="text1"/>
          <w:sz w:val="24"/>
          <w:szCs w:val="24"/>
        </w:rPr>
        <w:t xml:space="preserve">2.3 Comparative Summary of Existing Approaches</w:t>
      </w:r>
      <w:r>
        <w:rPr>
          <w:i/>
          <w:iCs/>
          <w:color w:val="000000" w:themeColor="text1"/>
          <w:sz w:val="24"/>
          <w:szCs w:val="24"/>
        </w:rPr>
      </w:r>
      <w:r>
        <w:rPr>
          <w:bCs/>
          <w:i/>
          <w:color w:val="000000" w:themeColor="text1"/>
          <w:sz w:val="24"/>
          <w:szCs w:val="24"/>
        </w:rPr>
      </w:r>
    </w:p>
    <w:p w14:paraId="41B6EBBF">
      <w:pPr>
        <w:pBdr/>
        <w:spacing w:after="120" w:before="120" w:line="360" w:lineRule="auto"/>
        <w:ind/>
        <w:jc w:val="left"/>
        <w:rPr/>
      </w:pPr>
      <w:r>
        <w:rPr>
          <w:rFonts w:ascii="Arial" w:hAnsi="Arial" w:eastAsia="Arial" w:cs="Arial"/>
          <w:sz w:val="24"/>
          <w:szCs w:val="24"/>
        </w:rPr>
        <w:t xml:space="preserve">Table 2.1 summarises the five main approaches identified in the literature, comparing the basis on which each computes risk, its reported technical strength, and the extent to which it connects to formal GRC requirements.</w:t>
        <w:br/>
      </w:r>
      <w:r/>
    </w:p>
    <w:tbl>
      <w:tblPr>
        <w:tblStyle w:val="890"/>
        <w:tblW w:w="0" w:type="auto"/>
        <w:tblBorders/>
        <w:tblLayout w:type="fixed"/>
        <w:tblLook w:val="04A0" w:firstRow="1" w:lastRow="0" w:firstColumn="1" w:lastColumn="0" w:noHBand="0" w:noVBand="1"/>
      </w:tblPr>
      <w:tblGrid>
        <w:gridCol w:w="1466"/>
        <w:gridCol w:w="1894"/>
        <w:gridCol w:w="1850"/>
        <w:gridCol w:w="1668"/>
        <w:gridCol w:w="1624"/>
      </w:tblGrid>
      <w:tr>
        <w:trPr/>
        <w:tc>
          <w:tcPr>
            <w:tcBorders/>
            <w:tcW w:w="1466" w:type="dxa"/>
          </w:tcPr>
          <w:p w14:paraId="609490AD">
            <w:pPr>
              <w:pBdr/>
              <w:spacing w:after="40" w:before="40" w:line="240" w:lineRule="auto"/>
              <w:ind/>
              <w:jc w:val="left"/>
              <w:rPr>
                <w:rFonts w:ascii="Times New Roman" w:hAnsi="Times New Roman" w:cs="Times New Roman"/>
                <w:b/>
                <w:bCs/>
                <w:sz w:val="24"/>
                <w:szCs w:val="24"/>
              </w:rPr>
            </w:pPr>
            <w:r>
              <w:rPr>
                <w:rFonts w:ascii="Arial" w:hAnsi="Arial" w:eastAsia="Arial" w:cs="Arial"/>
                <w:b/>
                <w:bCs/>
                <w:sz w:val="20"/>
                <w:szCs w:val="24"/>
              </w:rPr>
              <w:t xml:space="preserve">Approach</w:t>
            </w:r>
            <w:r>
              <w:rPr>
                <w:rFonts w:ascii="Times New Roman" w:hAnsi="Times New Roman" w:cs="Times New Roman"/>
                <w:b/>
                <w:bCs/>
                <w:sz w:val="24"/>
                <w:szCs w:val="24"/>
              </w:rPr>
            </w:r>
            <w:r>
              <w:rPr>
                <w:rFonts w:ascii="Times New Roman" w:hAnsi="Times New Roman" w:cs="Times New Roman"/>
                <w:b/>
                <w:bCs/>
                <w:sz w:val="24"/>
                <w:szCs w:val="24"/>
              </w:rPr>
            </w:r>
          </w:p>
        </w:tc>
        <w:tc>
          <w:tcPr>
            <w:tcBorders/>
            <w:tcW w:w="1894" w:type="dxa"/>
          </w:tcPr>
          <w:p w14:paraId="36D19D0E">
            <w:pPr>
              <w:pBdr/>
              <w:spacing w:after="40" w:before="40" w:line="240" w:lineRule="auto"/>
              <w:ind/>
              <w:jc w:val="left"/>
              <w:rPr>
                <w:rFonts w:ascii="Times New Roman" w:hAnsi="Times New Roman" w:cs="Times New Roman"/>
                <w:b/>
                <w:bCs/>
                <w:sz w:val="24"/>
                <w:szCs w:val="24"/>
              </w:rPr>
            </w:pPr>
            <w:r>
              <w:rPr>
                <w:rFonts w:ascii="Arial" w:hAnsi="Arial" w:eastAsia="Arial" w:cs="Arial"/>
                <w:b/>
                <w:bCs/>
                <w:sz w:val="20"/>
                <w:szCs w:val="24"/>
              </w:rPr>
              <w:t xml:space="preserve">Representative studies</w:t>
            </w:r>
            <w:r>
              <w:rPr>
                <w:rFonts w:ascii="Times New Roman" w:hAnsi="Times New Roman" w:cs="Times New Roman"/>
                <w:b/>
                <w:bCs/>
                <w:sz w:val="24"/>
                <w:szCs w:val="24"/>
              </w:rPr>
            </w:r>
            <w:r>
              <w:rPr>
                <w:rFonts w:ascii="Times New Roman" w:hAnsi="Times New Roman" w:cs="Times New Roman"/>
                <w:b/>
                <w:bCs/>
                <w:sz w:val="24"/>
                <w:szCs w:val="24"/>
              </w:rPr>
            </w:r>
          </w:p>
        </w:tc>
        <w:tc>
          <w:tcPr>
            <w:tcBorders/>
            <w:tcW w:w="1850" w:type="dxa"/>
          </w:tcPr>
          <w:p w14:paraId="379773CF">
            <w:pPr>
              <w:pBdr/>
              <w:spacing w:after="40" w:before="40" w:line="240" w:lineRule="auto"/>
              <w:ind/>
              <w:jc w:val="left"/>
              <w:rPr>
                <w:rFonts w:ascii="Times New Roman" w:hAnsi="Times New Roman" w:cs="Times New Roman"/>
                <w:b/>
                <w:bCs/>
                <w:sz w:val="24"/>
                <w:szCs w:val="24"/>
              </w:rPr>
            </w:pPr>
            <w:r>
              <w:rPr>
                <w:rFonts w:ascii="Arial" w:hAnsi="Arial" w:eastAsia="Arial" w:cs="Arial"/>
                <w:b/>
                <w:bCs/>
                <w:sz w:val="20"/>
                <w:szCs w:val="24"/>
              </w:rPr>
              <w:t xml:space="preserve">Risk basis</w:t>
            </w:r>
            <w:r>
              <w:rPr>
                <w:rFonts w:ascii="Times New Roman" w:hAnsi="Times New Roman" w:cs="Times New Roman"/>
                <w:b/>
                <w:bCs/>
                <w:sz w:val="24"/>
                <w:szCs w:val="24"/>
              </w:rPr>
            </w:r>
            <w:r>
              <w:rPr>
                <w:rFonts w:ascii="Times New Roman" w:hAnsi="Times New Roman" w:cs="Times New Roman"/>
                <w:b/>
                <w:bCs/>
                <w:sz w:val="24"/>
                <w:szCs w:val="24"/>
              </w:rPr>
            </w:r>
          </w:p>
        </w:tc>
        <w:tc>
          <w:tcPr>
            <w:tcBorders/>
            <w:tcW w:w="1668" w:type="dxa"/>
          </w:tcPr>
          <w:p w14:paraId="1F4C8F92">
            <w:pPr>
              <w:pBdr/>
              <w:spacing w:after="40" w:before="40" w:line="240" w:lineRule="auto"/>
              <w:ind/>
              <w:rPr>
                <w:rFonts w:ascii="Times New Roman" w:hAnsi="Times New Roman" w:cs="Times New Roman"/>
                <w:b/>
                <w:bCs/>
                <w:sz w:val="24"/>
                <w:szCs w:val="24"/>
              </w:rPr>
            </w:pPr>
            <w:r>
              <w:rPr>
                <w:rFonts w:ascii="Arial" w:hAnsi="Arial" w:eastAsia="Arial" w:cs="Arial"/>
                <w:b/>
                <w:bCs/>
                <w:sz w:val="20"/>
                <w:szCs w:val="24"/>
              </w:rPr>
              <w:t xml:space="preserve">Reported Strength</w:t>
            </w:r>
            <w:r>
              <w:rPr>
                <w:rFonts w:ascii="Times New Roman" w:hAnsi="Times New Roman" w:cs="Times New Roman"/>
                <w:b/>
                <w:bCs/>
                <w:sz w:val="24"/>
                <w:szCs w:val="24"/>
              </w:rPr>
            </w:r>
            <w:r>
              <w:rPr>
                <w:rFonts w:ascii="Times New Roman" w:hAnsi="Times New Roman" w:cs="Times New Roman"/>
                <w:b/>
                <w:bCs/>
                <w:sz w:val="24"/>
                <w:szCs w:val="24"/>
              </w:rPr>
            </w:r>
          </w:p>
          <w:p w14:paraId="4FD5FE62">
            <w:pPr>
              <w:pBdr/>
              <w:spacing w:after="40" w:before="40" w:line="240" w:lineRule="auto"/>
              <w:ind/>
              <w:jc w:val="left"/>
              <w:rPr>
                <w:rFonts w:ascii="Times New Roman" w:hAnsi="Times New Roman" w:cs="Times New Roman"/>
                <w:b/>
                <w:bCs/>
                <w:sz w:val="24"/>
                <w:szCs w:val="24"/>
              </w:rPr>
            </w:pPr>
            <w:r>
              <w:rPr>
                <w:rFonts w:ascii="Arial" w:hAnsi="Arial" w:eastAsia="Arial" w:cs="Arial"/>
                <w:b/>
                <w:bCs/>
                <w:sz w:val="20"/>
                <w:szCs w:val="24"/>
              </w:rPr>
            </w:r>
            <w:r>
              <w:rPr>
                <w:rFonts w:ascii="Times New Roman" w:hAnsi="Times New Roman" w:cs="Times New Roman"/>
                <w:b/>
                <w:bCs/>
                <w:sz w:val="24"/>
                <w:szCs w:val="24"/>
              </w:rPr>
            </w:r>
            <w:r>
              <w:rPr>
                <w:rFonts w:ascii="Times New Roman" w:hAnsi="Times New Roman" w:cs="Times New Roman"/>
                <w:b/>
                <w:bCs/>
                <w:sz w:val="24"/>
                <w:szCs w:val="24"/>
              </w:rPr>
            </w:r>
          </w:p>
        </w:tc>
        <w:tc>
          <w:tcPr>
            <w:tcBorders/>
            <w:tcW w:w="1624" w:type="dxa"/>
          </w:tcPr>
          <w:p w14:paraId="73B88D9A">
            <w:pPr>
              <w:pBdr/>
              <w:spacing w:after="40" w:before="40" w:line="240" w:lineRule="auto"/>
              <w:ind/>
              <w:rPr>
                <w:rFonts w:ascii="Times New Roman" w:hAnsi="Times New Roman" w:cs="Times New Roman"/>
                <w:b/>
                <w:bCs/>
                <w:sz w:val="24"/>
                <w:szCs w:val="24"/>
              </w:rPr>
            </w:pPr>
            <w:r>
              <w:rPr>
                <w:rFonts w:ascii="Arial" w:hAnsi="Arial" w:eastAsia="Arial" w:cs="Arial"/>
                <w:b/>
                <w:bCs/>
                <w:sz w:val="20"/>
                <w:szCs w:val="24"/>
              </w:rPr>
              <w:t xml:space="preserve">GRC Linkage</w:t>
            </w:r>
            <w:r>
              <w:rPr>
                <w:rFonts w:ascii="Times New Roman" w:hAnsi="Times New Roman" w:cs="Times New Roman"/>
                <w:b/>
                <w:bCs/>
                <w:sz w:val="24"/>
                <w:szCs w:val="24"/>
              </w:rPr>
            </w:r>
            <w:r>
              <w:rPr>
                <w:rFonts w:ascii="Times New Roman" w:hAnsi="Times New Roman" w:cs="Times New Roman"/>
                <w:b/>
                <w:bCs/>
                <w:sz w:val="24"/>
                <w:szCs w:val="24"/>
              </w:rPr>
            </w:r>
          </w:p>
          <w:p w14:paraId="6683D6C8">
            <w:pPr>
              <w:pBdr/>
              <w:spacing w:after="40" w:before="40" w:line="240" w:lineRule="auto"/>
              <w:ind/>
              <w:jc w:val="left"/>
              <w:rPr>
                <w:rFonts w:ascii="Times New Roman" w:hAnsi="Times New Roman" w:cs="Times New Roman"/>
                <w:b/>
                <w:bCs/>
                <w:sz w:val="24"/>
                <w:szCs w:val="24"/>
              </w:rPr>
            </w:pPr>
            <w:r>
              <w:rPr>
                <w:rFonts w:ascii="Arial" w:hAnsi="Arial" w:eastAsia="Arial" w:cs="Arial"/>
                <w:b/>
                <w:bCs/>
                <w:sz w:val="20"/>
                <w:szCs w:val="24"/>
              </w:rPr>
            </w:r>
            <w:r>
              <w:rPr>
                <w:rFonts w:ascii="Times New Roman" w:hAnsi="Times New Roman" w:cs="Times New Roman"/>
                <w:b/>
                <w:bCs/>
                <w:sz w:val="24"/>
                <w:szCs w:val="24"/>
              </w:rPr>
            </w:r>
            <w:r>
              <w:rPr>
                <w:rFonts w:ascii="Times New Roman" w:hAnsi="Times New Roman" w:cs="Times New Roman"/>
                <w:b/>
                <w:bCs/>
                <w:sz w:val="24"/>
                <w:szCs w:val="24"/>
              </w:rPr>
            </w:r>
          </w:p>
        </w:tc>
      </w:tr>
      <w:tr>
        <w:trPr/>
        <w:tc>
          <w:tcPr>
            <w:tcBorders/>
            <w:tcW w:w="1466" w:type="dxa"/>
          </w:tcPr>
          <w:p w14:paraId="1BFCCEE2">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Identity governance &amp; privilege mining</w:t>
            </w:r>
            <w:r>
              <w:rPr>
                <w:rFonts w:ascii="Times New Roman" w:hAnsi="Times New Roman" w:cs="Times New Roman"/>
                <w:sz w:val="24"/>
                <w:szCs w:val="24"/>
              </w:rPr>
            </w:r>
            <w:r>
              <w:rPr>
                <w:rFonts w:ascii="Times New Roman" w:hAnsi="Times New Roman" w:cs="Times New Roman"/>
                <w:sz w:val="24"/>
                <w:szCs w:val="24"/>
              </w:rPr>
            </w:r>
          </w:p>
          <w:p w14:paraId="5EFB4B92">
            <w:pPr>
              <w:pBdr/>
              <w:spacing w:after="40" w:before="40" w:line="240" w:lineRule="auto"/>
              <w:ind/>
              <w:jc w:val="left"/>
              <w:rPr>
                <w:rFonts w:ascii="Times New Roman" w:hAnsi="Times New Roman" w:cs="Times New Roman"/>
                <w:sz w:val="24"/>
                <w:szCs w:val="24"/>
              </w:rPr>
            </w:pPr>
            <w:r>
              <w:rPr>
                <w:rFonts w:ascii="Arial" w:hAnsi="Arial" w:eastAsia="Arial" w:cs="Arial"/>
                <w:sz w:val="20"/>
                <w:szCs w:val="24"/>
              </w:rPr>
            </w:r>
            <w:r>
              <w:rPr>
                <w:rFonts w:ascii="Times New Roman" w:hAnsi="Times New Roman" w:cs="Times New Roman"/>
                <w:sz w:val="24"/>
                <w:szCs w:val="24"/>
              </w:rPr>
            </w:r>
            <w:r>
              <w:rPr>
                <w:rFonts w:ascii="Times New Roman" w:hAnsi="Times New Roman" w:cs="Times New Roman"/>
                <w:sz w:val="24"/>
                <w:szCs w:val="24"/>
              </w:rPr>
            </w:r>
          </w:p>
        </w:tc>
        <w:tc>
          <w:tcPr>
            <w:tcBorders/>
            <w:tcW w:w="1894" w:type="dxa"/>
          </w:tcPr>
          <w:p w14:paraId="0B034050">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Bittard et al. (2025); Gu et al. (2025); Durdağ &amp; Coşkunçay (2025)</w:t>
            </w:r>
            <w:r>
              <w:rPr>
                <w:rFonts w:ascii="Times New Roman" w:hAnsi="Times New Roman" w:cs="Times New Roman"/>
                <w:sz w:val="24"/>
                <w:szCs w:val="24"/>
              </w:rPr>
            </w:r>
            <w:r>
              <w:rPr>
                <w:rFonts w:ascii="Times New Roman" w:hAnsi="Times New Roman" w:cs="Times New Roman"/>
                <w:sz w:val="24"/>
                <w:szCs w:val="24"/>
              </w:rPr>
            </w:r>
          </w:p>
        </w:tc>
        <w:tc>
          <w:tcPr>
            <w:tcBorders/>
            <w:tcW w:w="1850" w:type="dxa"/>
          </w:tcPr>
          <w:p w14:paraId="18A6BC45">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Excessive/stale entitlements, privilege creep</w:t>
            </w:r>
            <w:r>
              <w:rPr>
                <w:rFonts w:ascii="Times New Roman" w:hAnsi="Times New Roman" w:cs="Times New Roman"/>
                <w:sz w:val="24"/>
                <w:szCs w:val="24"/>
              </w:rPr>
            </w:r>
            <w:r>
              <w:rPr>
                <w:rFonts w:ascii="Times New Roman" w:hAnsi="Times New Roman" w:cs="Times New Roman"/>
                <w:sz w:val="24"/>
                <w:szCs w:val="24"/>
              </w:rPr>
            </w:r>
          </w:p>
        </w:tc>
        <w:tc>
          <w:tcPr>
            <w:tcBorders/>
            <w:tcW w:w="1668" w:type="dxa"/>
          </w:tcPr>
          <w:p w14:paraId="718CA914">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Up to 95% correction accuracy on synthetic RBAC data; 94.6% of flagged Kubernetes pods confirmed over-privileged</w:t>
            </w:r>
            <w:r>
              <w:rPr>
                <w:rFonts w:ascii="Times New Roman" w:hAnsi="Times New Roman" w:cs="Times New Roman"/>
                <w:sz w:val="24"/>
                <w:szCs w:val="24"/>
              </w:rPr>
            </w:r>
            <w:r>
              <w:rPr>
                <w:rFonts w:ascii="Times New Roman" w:hAnsi="Times New Roman" w:cs="Times New Roman"/>
                <w:sz w:val="24"/>
                <w:szCs w:val="24"/>
              </w:rPr>
            </w:r>
          </w:p>
        </w:tc>
        <w:tc>
          <w:tcPr>
            <w:tcBorders/>
            <w:tcW w:w="1624" w:type="dxa"/>
          </w:tcPr>
          <w:p w14:paraId="7456FFDB">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Detects risk but does not assign likelihood, impact or an owner</w:t>
            </w:r>
            <w:r>
              <w:rPr>
                <w:rFonts w:ascii="Times New Roman" w:hAnsi="Times New Roman" w:cs="Times New Roman"/>
                <w:sz w:val="24"/>
                <w:szCs w:val="24"/>
              </w:rPr>
            </w:r>
            <w:r>
              <w:rPr>
                <w:rFonts w:ascii="Times New Roman" w:hAnsi="Times New Roman" w:cs="Times New Roman"/>
                <w:sz w:val="24"/>
                <w:szCs w:val="24"/>
              </w:rPr>
            </w:r>
          </w:p>
          <w:p w14:paraId="4A5E3DAC">
            <w:pPr>
              <w:pBdr/>
              <w:spacing w:after="40" w:before="40" w:line="240" w:lineRule="auto"/>
              <w:ind/>
              <w:jc w:val="left"/>
              <w:rPr>
                <w:rFonts w:ascii="Times New Roman" w:hAnsi="Times New Roman" w:cs="Times New Roman"/>
                <w:sz w:val="24"/>
                <w:szCs w:val="24"/>
              </w:rPr>
            </w:pPr>
            <w:r>
              <w:rPr>
                <w:rFonts w:ascii="Arial" w:hAnsi="Arial" w:eastAsia="Arial" w:cs="Arial"/>
                <w:sz w:val="20"/>
                <w:szCs w:val="24"/>
              </w:rPr>
            </w:r>
            <w:r>
              <w:rPr>
                <w:rFonts w:ascii="Times New Roman" w:hAnsi="Times New Roman" w:cs="Times New Roman"/>
                <w:sz w:val="24"/>
                <w:szCs w:val="24"/>
              </w:rPr>
            </w:r>
            <w:r>
              <w:rPr>
                <w:rFonts w:ascii="Times New Roman" w:hAnsi="Times New Roman" w:cs="Times New Roman"/>
                <w:sz w:val="24"/>
                <w:szCs w:val="24"/>
              </w:rPr>
            </w:r>
          </w:p>
        </w:tc>
      </w:tr>
      <w:tr>
        <w:trPr/>
        <w:tc>
          <w:tcPr>
            <w:tcBorders/>
            <w:tcW w:w="1466" w:type="dxa"/>
          </w:tcPr>
          <w:p w14:paraId="653CBEDB">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Risk-based &amp; adaptive authentication</w:t>
            </w:r>
            <w:r>
              <w:rPr>
                <w:rFonts w:ascii="Times New Roman" w:hAnsi="Times New Roman" w:cs="Times New Roman"/>
                <w:sz w:val="24"/>
                <w:szCs w:val="24"/>
              </w:rPr>
            </w:r>
            <w:r>
              <w:rPr>
                <w:rFonts w:ascii="Times New Roman" w:hAnsi="Times New Roman" w:cs="Times New Roman"/>
                <w:sz w:val="24"/>
                <w:szCs w:val="24"/>
              </w:rPr>
            </w:r>
          </w:p>
        </w:tc>
        <w:tc>
          <w:tcPr>
            <w:tcBorders/>
            <w:tcW w:w="1894" w:type="dxa"/>
          </w:tcPr>
          <w:p w14:paraId="10403163">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Ozdenizci Kose et al. (2023); Batache et al. (2025); Papaioannou et al. (2023)</w:t>
              <w:br/>
            </w:r>
            <w:r>
              <w:rPr>
                <w:rFonts w:ascii="Times New Roman" w:hAnsi="Times New Roman" w:cs="Times New Roman"/>
                <w:sz w:val="24"/>
                <w:szCs w:val="24"/>
              </w:rPr>
            </w:r>
            <w:r>
              <w:rPr>
                <w:rFonts w:ascii="Times New Roman" w:hAnsi="Times New Roman" w:cs="Times New Roman"/>
                <w:sz w:val="24"/>
                <w:szCs w:val="24"/>
              </w:rPr>
            </w:r>
          </w:p>
        </w:tc>
        <w:tc>
          <w:tcPr>
            <w:tcBorders/>
            <w:tcW w:w="1850" w:type="dxa"/>
          </w:tcPr>
          <w:p w14:paraId="3083E351">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Contextual/behavioural risk score at login</w:t>
            </w:r>
            <w:r>
              <w:rPr>
                <w:rFonts w:ascii="Times New Roman" w:hAnsi="Times New Roman" w:cs="Times New Roman"/>
                <w:sz w:val="24"/>
                <w:szCs w:val="24"/>
              </w:rPr>
            </w:r>
            <w:r>
              <w:rPr>
                <w:rFonts w:ascii="Times New Roman" w:hAnsi="Times New Roman" w:cs="Times New Roman"/>
                <w:sz w:val="24"/>
                <w:szCs w:val="24"/>
              </w:rPr>
            </w:r>
          </w:p>
          <w:p w14:paraId="28E16820">
            <w:pPr>
              <w:pBdr/>
              <w:spacing w:after="40" w:before="40" w:line="240" w:lineRule="auto"/>
              <w:ind/>
              <w:jc w:val="left"/>
              <w:rPr>
                <w:rFonts w:ascii="Times New Roman" w:hAnsi="Times New Roman" w:cs="Times New Roman"/>
                <w:sz w:val="24"/>
                <w:szCs w:val="24"/>
              </w:rPr>
            </w:pPr>
            <w:r>
              <w:rPr>
                <w:rFonts w:ascii="Arial" w:hAnsi="Arial" w:eastAsia="Arial" w:cs="Arial"/>
                <w:sz w:val="20"/>
                <w:szCs w:val="24"/>
              </w:rPr>
            </w:r>
            <w:r>
              <w:rPr>
                <w:rFonts w:ascii="Times New Roman" w:hAnsi="Times New Roman" w:cs="Times New Roman"/>
                <w:sz w:val="24"/>
                <w:szCs w:val="24"/>
              </w:rPr>
            </w:r>
            <w:r>
              <w:rPr>
                <w:rFonts w:ascii="Times New Roman" w:hAnsi="Times New Roman" w:cs="Times New Roman"/>
                <w:sz w:val="24"/>
                <w:szCs w:val="24"/>
              </w:rPr>
            </w:r>
          </w:p>
        </w:tc>
        <w:tc>
          <w:tcPr>
            <w:tcBorders/>
            <w:tcW w:w="1668" w:type="dxa"/>
          </w:tcPr>
          <w:p w14:paraId="0BA07692">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F1-scores up to 0.98–0.99 on session data (Batache et al., Papaioannou et al.); Ozdenizci Kose et al. propose the system without published evaluation metrics</w:t>
            </w:r>
            <w:r>
              <w:rPr>
                <w:rFonts w:ascii="Times New Roman" w:hAnsi="Times New Roman" w:cs="Times New Roman"/>
                <w:sz w:val="24"/>
                <w:szCs w:val="24"/>
              </w:rPr>
            </w:r>
            <w:r>
              <w:rPr>
                <w:rFonts w:ascii="Times New Roman" w:hAnsi="Times New Roman" w:cs="Times New Roman"/>
                <w:sz w:val="24"/>
                <w:szCs w:val="24"/>
              </w:rPr>
            </w:r>
          </w:p>
        </w:tc>
        <w:tc>
          <w:tcPr>
            <w:tcBorders/>
            <w:tcW w:w="1624" w:type="dxa"/>
          </w:tcPr>
          <w:p w14:paraId="481CF204">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Produces a numeric score, not a register-ready risk entry</w:t>
            </w:r>
            <w:r>
              <w:rPr>
                <w:rFonts w:ascii="Times New Roman" w:hAnsi="Times New Roman" w:cs="Times New Roman"/>
                <w:sz w:val="24"/>
                <w:szCs w:val="24"/>
              </w:rPr>
            </w:r>
            <w:r>
              <w:rPr>
                <w:rFonts w:ascii="Times New Roman" w:hAnsi="Times New Roman" w:cs="Times New Roman"/>
                <w:sz w:val="24"/>
                <w:szCs w:val="24"/>
              </w:rPr>
            </w:r>
          </w:p>
        </w:tc>
      </w:tr>
      <w:tr>
        <w:trPr/>
        <w:tc>
          <w:tcPr>
            <w:tcBorders/>
            <w:tcW w:w="1466" w:type="dxa"/>
          </w:tcPr>
          <w:p w14:paraId="4A84414E">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Zero Trust &amp; continuous evaluation</w:t>
            </w:r>
            <w:r>
              <w:rPr>
                <w:rFonts w:ascii="Times New Roman" w:hAnsi="Times New Roman" w:cs="Times New Roman"/>
                <w:sz w:val="24"/>
                <w:szCs w:val="24"/>
              </w:rPr>
            </w:r>
            <w:r>
              <w:rPr>
                <w:rFonts w:ascii="Times New Roman" w:hAnsi="Times New Roman" w:cs="Times New Roman"/>
                <w:sz w:val="24"/>
                <w:szCs w:val="24"/>
              </w:rPr>
            </w:r>
          </w:p>
        </w:tc>
        <w:tc>
          <w:tcPr>
            <w:tcBorders/>
            <w:tcW w:w="1894" w:type="dxa"/>
          </w:tcPr>
          <w:p w14:paraId="0A205E02">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Bradatsch et al. (2023); Yunanto &amp; Pao (2022)</w:t>
            </w:r>
            <w:r>
              <w:rPr>
                <w:rFonts w:ascii="Times New Roman" w:hAnsi="Times New Roman" w:cs="Times New Roman"/>
                <w:sz w:val="24"/>
                <w:szCs w:val="24"/>
              </w:rPr>
            </w:r>
            <w:r>
              <w:rPr>
                <w:rFonts w:ascii="Times New Roman" w:hAnsi="Times New Roman" w:cs="Times New Roman"/>
                <w:sz w:val="24"/>
                <w:szCs w:val="24"/>
              </w:rPr>
            </w:r>
          </w:p>
        </w:tc>
        <w:tc>
          <w:tcPr>
            <w:tcBorders/>
            <w:tcW w:w="1850" w:type="dxa"/>
          </w:tcPr>
          <w:p w14:paraId="50A20A12">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Continuously re-assessed trust/risk during a session</w:t>
            </w:r>
            <w:r>
              <w:rPr>
                <w:rFonts w:ascii="Times New Roman" w:hAnsi="Times New Roman" w:cs="Times New Roman"/>
                <w:sz w:val="24"/>
                <w:szCs w:val="24"/>
              </w:rPr>
            </w:r>
            <w:r>
              <w:rPr>
                <w:rFonts w:ascii="Times New Roman" w:hAnsi="Times New Roman" w:cs="Times New Roman"/>
                <w:sz w:val="24"/>
                <w:szCs w:val="24"/>
              </w:rPr>
            </w:r>
          </w:p>
        </w:tc>
        <w:tc>
          <w:tcPr>
            <w:tcBorders/>
            <w:tcW w:w="1668" w:type="dxa"/>
          </w:tcPr>
          <w:p w14:paraId="7F5A83C9">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Dynamic thresholds improve detection at ~7% added decision time</w:t>
            </w:r>
            <w:r>
              <w:rPr>
                <w:rFonts w:ascii="Times New Roman" w:hAnsi="Times New Roman" w:cs="Times New Roman"/>
                <w:sz w:val="24"/>
                <w:szCs w:val="24"/>
              </w:rPr>
            </w:r>
            <w:r>
              <w:rPr>
                <w:rFonts w:ascii="Times New Roman" w:hAnsi="Times New Roman" w:cs="Times New Roman"/>
                <w:sz w:val="24"/>
                <w:szCs w:val="24"/>
              </w:rPr>
            </w:r>
          </w:p>
        </w:tc>
        <w:tc>
          <w:tcPr>
            <w:tcBorders/>
            <w:tcW w:w="1624" w:type="dxa"/>
          </w:tcPr>
          <w:p w14:paraId="116B0C19">
            <w:pPr>
              <w:pBdr/>
              <w:spacing w:line="240" w:lineRule="auto"/>
              <w:ind/>
              <w:rPr/>
            </w:pPr>
            <w:r>
              <w:rPr>
                <w:rFonts w:ascii="Arial" w:hAnsi="Arial" w:eastAsia="Arial" w:cs="Arial"/>
                <w:b w:val="0"/>
                <w:bCs w:val="0"/>
                <w:sz w:val="20"/>
                <w:szCs w:val="20"/>
              </w:rPr>
              <w:t xml:space="preserve">No mapping to ISO/IEC 27001 controls or residual risk</w:t>
            </w:r>
            <w:r/>
          </w:p>
        </w:tc>
      </w:tr>
      <w:tr>
        <w:trPr/>
        <w:tc>
          <w:tcPr>
            <w:tcBorders/>
            <w:tcW w:w="1466" w:type="dxa"/>
          </w:tcPr>
          <w:p w14:paraId="2458EF7D">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Decentralized identity &amp; blockchain</w:t>
            </w:r>
            <w:r>
              <w:rPr>
                <w:rFonts w:ascii="Times New Roman" w:hAnsi="Times New Roman" w:cs="Times New Roman"/>
                <w:sz w:val="24"/>
                <w:szCs w:val="24"/>
              </w:rPr>
            </w:r>
            <w:r>
              <w:rPr>
                <w:rFonts w:ascii="Times New Roman" w:hAnsi="Times New Roman" w:cs="Times New Roman"/>
                <w:sz w:val="24"/>
                <w:szCs w:val="24"/>
              </w:rPr>
            </w:r>
          </w:p>
          <w:p w14:paraId="52BA63FA">
            <w:pPr>
              <w:pBdr/>
              <w:spacing w:after="40" w:before="40" w:line="240" w:lineRule="auto"/>
              <w:ind/>
              <w:jc w:val="left"/>
              <w:rPr>
                <w:rFonts w:ascii="Times New Roman" w:hAnsi="Times New Roman" w:cs="Times New Roman"/>
                <w:sz w:val="24"/>
                <w:szCs w:val="24"/>
              </w:rPr>
            </w:pPr>
            <w:r>
              <w:rPr>
                <w:rFonts w:ascii="Arial" w:hAnsi="Arial" w:eastAsia="Arial" w:cs="Arial"/>
                <w:sz w:val="20"/>
                <w:szCs w:val="24"/>
              </w:rPr>
            </w:r>
            <w:r>
              <w:rPr>
                <w:rFonts w:ascii="Times New Roman" w:hAnsi="Times New Roman" w:cs="Times New Roman"/>
                <w:sz w:val="24"/>
                <w:szCs w:val="24"/>
              </w:rPr>
            </w:r>
            <w:r>
              <w:rPr>
                <w:rFonts w:ascii="Times New Roman" w:hAnsi="Times New Roman" w:cs="Times New Roman"/>
                <w:sz w:val="24"/>
                <w:szCs w:val="24"/>
              </w:rPr>
            </w:r>
          </w:p>
        </w:tc>
        <w:tc>
          <w:tcPr>
            <w:tcBorders/>
            <w:tcW w:w="1894" w:type="dxa"/>
          </w:tcPr>
          <w:p w14:paraId="2D96B242">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Čučko &amp; Turkanović (2025); Waheed &amp; Khan (2026); Asiri et al. (2024)</w:t>
            </w:r>
            <w:r>
              <w:rPr>
                <w:rFonts w:ascii="Times New Roman" w:hAnsi="Times New Roman" w:cs="Times New Roman"/>
                <w:sz w:val="24"/>
                <w:szCs w:val="24"/>
              </w:rPr>
            </w:r>
            <w:r>
              <w:rPr>
                <w:rFonts w:ascii="Times New Roman" w:hAnsi="Times New Roman" w:cs="Times New Roman"/>
                <w:sz w:val="24"/>
                <w:szCs w:val="24"/>
              </w:rPr>
            </w:r>
          </w:p>
        </w:tc>
        <w:tc>
          <w:tcPr>
            <w:tcBorders/>
            <w:tcW w:w="1850" w:type="dxa"/>
          </w:tcPr>
          <w:p w14:paraId="6DBB062C">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Cryptographic verification, distributed trust</w:t>
            </w:r>
            <w:r>
              <w:rPr>
                <w:rFonts w:ascii="Times New Roman" w:hAnsi="Times New Roman" w:cs="Times New Roman"/>
                <w:sz w:val="24"/>
                <w:szCs w:val="24"/>
              </w:rPr>
            </w:r>
            <w:r>
              <w:rPr>
                <w:rFonts w:ascii="Times New Roman" w:hAnsi="Times New Roman" w:cs="Times New Roman"/>
                <w:sz w:val="24"/>
                <w:szCs w:val="24"/>
              </w:rPr>
            </w:r>
          </w:p>
        </w:tc>
        <w:tc>
          <w:tcPr>
            <w:tcBorders/>
            <w:tcW w:w="1668" w:type="dxa"/>
          </w:tcPr>
          <w:p w14:paraId="04AFC5E9">
            <w:pPr>
              <w:pBdr/>
              <w:spacing w:after="40" w:before="40" w:line="240" w:lineRule="auto"/>
              <w:ind/>
              <w:jc w:val="left"/>
              <w:rPr>
                <w:rFonts w:ascii="Times New Roman" w:hAnsi="Times New Roman" w:cs="Times New Roman"/>
                <w:b w:val="0"/>
                <w:bCs w:val="0"/>
                <w:sz w:val="24"/>
                <w:szCs w:val="24"/>
                <w:highlight w:val="none"/>
              </w:rPr>
            </w:pPr>
            <w:r>
              <w:rPr>
                <w:rFonts w:ascii="Arial" w:hAnsi="Arial" w:eastAsia="Arial" w:cs="Arial"/>
                <w:sz w:val="20"/>
                <w:szCs w:val="24"/>
              </w:rPr>
            </w:r>
            <w:r>
              <w:rPr>
                <w:rFonts w:ascii="Arial" w:hAnsi="Arial" w:eastAsia="Arial" w:cs="Arial"/>
                <w:b w:val="0"/>
                <w:bCs w:val="0"/>
                <w:sz w:val="20"/>
                <w:szCs w:val="24"/>
              </w:rPr>
              <w:t xml:space="preserve">Removes single points of failure; LLM-driven ABAC reached 94.7% policy accuracy</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Borders/>
            <w:tcW w:w="1624" w:type="dxa"/>
          </w:tcPr>
          <w:p w14:paraId="11E39916">
            <w:pPr>
              <w:pBdr/>
              <w:spacing w:line="240" w:lineRule="auto"/>
              <w:ind/>
              <w:rPr/>
            </w:pPr>
            <w:r>
              <w:rPr>
                <w:rFonts w:ascii="Arial" w:hAnsi="Arial" w:eastAsia="Arial" w:cs="Arial"/>
                <w:b w:val="0"/>
                <w:bCs w:val="0"/>
                <w:sz w:val="20"/>
                <w:szCs w:val="20"/>
              </w:rPr>
              <w:t xml:space="preserve">Governance layer for key custody/compliance is largely unaddressed</w:t>
            </w:r>
            <w:r/>
          </w:p>
        </w:tc>
      </w:tr>
      <w:tr>
        <w:trPr/>
        <w:tc>
          <w:tcPr>
            <w:tcBorders/>
            <w:tcW w:w="1466" w:type="dxa"/>
            <w:vMerge w:val="restart"/>
          </w:tcPr>
          <w:p w14:paraId="684B3E0D">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GRC-oriented IAM frameworks</w:t>
            </w:r>
            <w:r>
              <w:rPr>
                <w:rFonts w:ascii="Times New Roman" w:hAnsi="Times New Roman" w:cs="Times New Roman"/>
                <w:sz w:val="24"/>
                <w:szCs w:val="24"/>
              </w:rPr>
            </w:r>
            <w:r>
              <w:rPr>
                <w:rFonts w:ascii="Times New Roman" w:hAnsi="Times New Roman" w:cs="Times New Roman"/>
                <w:sz w:val="24"/>
                <w:szCs w:val="24"/>
              </w:rPr>
            </w:r>
          </w:p>
          <w:p w14:paraId="2B53DB78">
            <w:pPr>
              <w:pBdr/>
              <w:spacing w:after="40" w:before="40" w:line="240" w:lineRule="auto"/>
              <w:ind/>
              <w:rPr>
                <w:rFonts w:ascii="Times New Roman" w:hAnsi="Times New Roman" w:cs="Times New Roman"/>
                <w:b w:val="0"/>
                <w:bCs w:val="0"/>
                <w:sz w:val="24"/>
                <w:szCs w:val="24"/>
              </w:rPr>
            </w:pPr>
            <w:r>
              <w:rPr>
                <w:rFonts w:ascii="Arial" w:hAnsi="Arial" w:eastAsia="Arial" w:cs="Arial"/>
                <w:b w:val="0"/>
                <w:bCs w:val="0"/>
                <w:sz w:val="20"/>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cW w:w="1894" w:type="dxa"/>
            <w:vMerge w:val="restart"/>
          </w:tcPr>
          <w:p w14:paraId="27DB1161">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Mandru &amp; Gunuganti (2025); Farouk et al. (2024); Bhalerao et al. (2024); Mironov et al. (2026)</w:t>
            </w:r>
            <w:r>
              <w:rPr>
                <w:rFonts w:ascii="Times New Roman" w:hAnsi="Times New Roman" w:cs="Times New Roman"/>
                <w:sz w:val="24"/>
                <w:szCs w:val="24"/>
              </w:rPr>
            </w:r>
            <w:r>
              <w:rPr>
                <w:rFonts w:ascii="Times New Roman" w:hAnsi="Times New Roman" w:cs="Times New Roman"/>
                <w:sz w:val="24"/>
                <w:szCs w:val="24"/>
              </w:rPr>
            </w:r>
          </w:p>
          <w:p w14:paraId="0A921A22">
            <w:pPr>
              <w:pBdr/>
              <w:spacing w:after="40" w:before="40" w:line="240" w:lineRule="auto"/>
              <w:ind/>
              <w:rPr>
                <w:rFonts w:ascii="Times New Roman" w:hAnsi="Times New Roman" w:cs="Times New Roman"/>
                <w:b w:val="0"/>
                <w:bCs w:val="0"/>
                <w:sz w:val="24"/>
                <w:szCs w:val="24"/>
              </w:rPr>
            </w:pPr>
            <w:r>
              <w:rPr>
                <w:rFonts w:ascii="Arial" w:hAnsi="Arial" w:eastAsia="Arial" w:cs="Arial"/>
                <w:b w:val="0"/>
                <w:bCs w:val="0"/>
                <w:sz w:val="20"/>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cW w:w="1850" w:type="dxa"/>
            <w:vMerge w:val="restart"/>
          </w:tcPr>
          <w:p w14:paraId="1A7918A8">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Compliance mapping to NIST/ISO/GDPR/HIPAA</w:t>
            </w:r>
            <w:r>
              <w:rPr>
                <w:rFonts w:ascii="Times New Roman" w:hAnsi="Times New Roman" w:cs="Times New Roman"/>
                <w:sz w:val="24"/>
                <w:szCs w:val="24"/>
              </w:rPr>
            </w:r>
            <w:r>
              <w:rPr>
                <w:rFonts w:ascii="Times New Roman" w:hAnsi="Times New Roman" w:cs="Times New Roman"/>
                <w:sz w:val="24"/>
                <w:szCs w:val="24"/>
              </w:rPr>
            </w:r>
          </w:p>
          <w:p w14:paraId="79CC804E">
            <w:pPr>
              <w:pBdr/>
              <w:spacing w:after="40" w:before="40" w:line="240" w:lineRule="auto"/>
              <w:ind/>
              <w:rPr>
                <w:rFonts w:ascii="Times New Roman" w:hAnsi="Times New Roman" w:cs="Times New Roman"/>
                <w:b w:val="0"/>
                <w:bCs w:val="0"/>
                <w:sz w:val="24"/>
                <w:szCs w:val="24"/>
              </w:rPr>
            </w:pPr>
            <w:r>
              <w:rPr>
                <w:rFonts w:ascii="Arial" w:hAnsi="Arial" w:eastAsia="Arial" w:cs="Arial"/>
                <w:b w:val="0"/>
                <w:bCs w:val="0"/>
                <w:sz w:val="20"/>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cW w:w="1668" w:type="dxa"/>
            <w:vMerge w:val="restart"/>
          </w:tcPr>
          <w:p w14:paraId="5B509C21">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Conceptually links IAM to formal standards</w:t>
            </w:r>
            <w:r>
              <w:rPr>
                <w:rFonts w:ascii="Times New Roman" w:hAnsi="Times New Roman" w:cs="Times New Roman"/>
                <w:sz w:val="24"/>
                <w:szCs w:val="24"/>
              </w:rPr>
            </w:r>
            <w:r>
              <w:rPr>
                <w:rFonts w:ascii="Times New Roman" w:hAnsi="Times New Roman" w:cs="Times New Roman"/>
                <w:sz w:val="24"/>
                <w:szCs w:val="24"/>
              </w:rPr>
            </w:r>
          </w:p>
          <w:p w14:paraId="5E45446E">
            <w:pPr>
              <w:pBdr/>
              <w:spacing w:after="40" w:before="40" w:line="240" w:lineRule="auto"/>
              <w:ind/>
              <w:jc w:val="left"/>
              <w:rPr>
                <w:rFonts w:ascii="Times New Roman" w:hAnsi="Times New Roman" w:cs="Times New Roman"/>
                <w:sz w:val="24"/>
                <w:szCs w:val="24"/>
              </w:rPr>
            </w:pPr>
            <w:r>
              <w:rPr>
                <w:rFonts w:ascii="Arial" w:hAnsi="Arial" w:eastAsia="Arial" w:cs="Arial"/>
                <w:sz w:val="20"/>
                <w:szCs w:val="24"/>
              </w:rPr>
            </w:r>
            <w:r>
              <w:rPr>
                <w:rFonts w:ascii="Times New Roman" w:hAnsi="Times New Roman" w:cs="Times New Roman"/>
                <w:sz w:val="24"/>
                <w:szCs w:val="24"/>
              </w:rPr>
            </w:r>
            <w:r>
              <w:rPr>
                <w:rFonts w:ascii="Times New Roman" w:hAnsi="Times New Roman" w:cs="Times New Roman"/>
                <w:sz w:val="24"/>
                <w:szCs w:val="24"/>
              </w:rPr>
            </w:r>
          </w:p>
        </w:tc>
        <w:tc>
          <w:tcPr>
            <w:tcBorders/>
            <w:tcW w:w="1624" w:type="dxa"/>
            <w:vMerge w:val="restart"/>
          </w:tcPr>
          <w:p w14:paraId="58A383BF">
            <w:pPr>
              <w:pBdr/>
              <w:spacing w:after="40" w:before="40" w:line="240" w:lineRule="auto"/>
              <w:ind/>
              <w:rPr>
                <w:rFonts w:ascii="Times New Roman" w:hAnsi="Times New Roman" w:cs="Times New Roman"/>
                <w:sz w:val="24"/>
                <w:szCs w:val="24"/>
              </w:rPr>
            </w:pPr>
            <w:r>
              <w:rPr>
                <w:rFonts w:ascii="Arial" w:hAnsi="Arial" w:eastAsia="Arial" w:cs="Arial"/>
                <w:b w:val="0"/>
                <w:bCs w:val="0"/>
                <w:sz w:val="20"/>
                <w:szCs w:val="24"/>
              </w:rPr>
              <w:t xml:space="preserve">Frameworks remain conceptual; no working risk-register output or named ownership</w:t>
            </w:r>
            <w:r>
              <w:rPr>
                <w:rFonts w:ascii="Times New Roman" w:hAnsi="Times New Roman" w:cs="Times New Roman"/>
                <w:sz w:val="24"/>
                <w:szCs w:val="24"/>
              </w:rPr>
            </w:r>
            <w:r>
              <w:rPr>
                <w:rFonts w:ascii="Times New Roman" w:hAnsi="Times New Roman" w:cs="Times New Roman"/>
                <w:sz w:val="24"/>
                <w:szCs w:val="24"/>
              </w:rPr>
            </w:r>
          </w:p>
          <w:p w14:paraId="11E0C420">
            <w:pPr>
              <w:pBdr/>
              <w:spacing w:after="40" w:before="40" w:line="240" w:lineRule="auto"/>
              <w:ind/>
              <w:jc w:val="left"/>
              <w:rPr>
                <w:rFonts w:ascii="Times New Roman" w:hAnsi="Times New Roman" w:cs="Times New Roman"/>
                <w:sz w:val="24"/>
                <w:szCs w:val="24"/>
              </w:rPr>
            </w:pPr>
            <w:r>
              <w:rPr>
                <w:rFonts w:ascii="Arial" w:hAnsi="Arial" w:eastAsia="Arial" w:cs="Arial"/>
                <w:sz w:val="20"/>
                <w:szCs w:val="24"/>
              </w:rPr>
            </w:r>
            <w:r>
              <w:rPr>
                <w:rFonts w:ascii="Times New Roman" w:hAnsi="Times New Roman" w:cs="Times New Roman"/>
                <w:sz w:val="24"/>
                <w:szCs w:val="24"/>
              </w:rPr>
            </w:r>
            <w:r>
              <w:rPr>
                <w:rFonts w:ascii="Times New Roman" w:hAnsi="Times New Roman" w:cs="Times New Roman"/>
                <w:sz w:val="24"/>
                <w:szCs w:val="24"/>
              </w:rPr>
            </w:r>
          </w:p>
        </w:tc>
      </w:tr>
    </w:tbl>
    <w:p w14:paraId="58C6B623">
      <w:pPr>
        <w:pBdr/>
        <w:spacing w:after="120" w:before="120" w:line="360" w:lineRule="auto"/>
        <w:ind/>
        <w:jc w:val="center"/>
        <w:rPr>
          <w:rFonts w:ascii="Times New Roman" w:hAnsi="Times New Roman" w:eastAsia="Times New Roman" w:cs="Times New Roman"/>
          <w:bCs/>
          <w:i/>
          <w:sz w:val="24"/>
          <w:szCs w:val="24"/>
          <w:highlight w:val="none"/>
        </w:rPr>
      </w:pPr>
      <w:r>
        <w:rPr>
          <w:rFonts w:ascii="Arial" w:hAnsi="Arial" w:eastAsia="Arial" w:cs="Arial"/>
          <w:i/>
          <w:iCs/>
          <w:sz w:val="24"/>
          <w:szCs w:val="24"/>
        </w:rPr>
        <w:t xml:space="preserve">Table 2.1: Comparison of existing IAM and access-control risk approaches</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14:paraId="4624681E">
      <w:pPr>
        <w:pBdr/>
        <w:spacing w:after="120" w:before="120" w:line="360" w:lineRule="auto"/>
        <w:ind/>
        <w:jc w:val="both"/>
        <w:rPr>
          <w:highlight w:val="none"/>
        </w:rPr>
      </w:pPr>
      <w:r>
        <w:rPr>
          <w:rFonts w:ascii="Arial" w:hAnsi="Arial" w:eastAsia="Arial" w:cs="Arial"/>
          <w:sz w:val="24"/>
          <w:szCs w:val="24"/>
        </w:rPr>
        <w:t xml:space="preserve">This comparison shows a c</w:t>
      </w:r>
      <w:r>
        <w:rPr>
          <w:rFonts w:ascii="Arial" w:hAnsi="Arial" w:eastAsia="Arial" w:cs="Arial"/>
          <w:sz w:val="24"/>
          <w:szCs w:val="24"/>
        </w:rPr>
        <w:t xml:space="preserve">onsistent pattern: every approach produces a technically credible risk signal, whether a permission flag, a risk score, a trust value or a compliance mapping, yet none of the reviewed studies carries that signal through to the specific elements a GRC proce</w:t>
      </w:r>
      <w:r>
        <w:rPr>
          <w:rFonts w:ascii="Arial" w:hAnsi="Arial" w:eastAsia="Arial" w:cs="Arial"/>
          <w:sz w:val="24"/>
          <w:szCs w:val="24"/>
        </w:rPr>
        <w:t xml:space="preserve">ss requires, namely likelihood, impact, a named risk owner, a treatment decision and traceable evidence against a control such as ISO/IEC 27001. This limits how far the reviewed methods can currently be used for organisational risk management on their own.</w:t>
      </w:r>
      <w:r>
        <w:rPr>
          <w:highlight w:val="none"/>
        </w:rPr>
      </w:r>
      <w:r>
        <w:rPr>
          <w:highlight w:val="none"/>
        </w:rPr>
      </w:r>
    </w:p>
    <w:p w14:paraId="4CA4E0A4">
      <w:pPr>
        <w:pBdr/>
        <w:spacing w:after="120" w:before="120" w:line="360" w:lineRule="auto"/>
        <w:ind/>
        <w:jc w:val="both"/>
        <w:rPr/>
      </w:pPr>
      <w:r>
        <w:rPr>
          <w:rFonts w:ascii="Arial" w:hAnsi="Arial" w:eastAsia="Arial" w:cs="Arial"/>
          <w:color w:val="000000"/>
          <w:sz w:val="24"/>
        </w:rPr>
        <w:t xml:space="preserve">To strengthen this comparison, each approach was further checked against the specific fields a GRC risk-register process requires: tech</w:t>
      </w:r>
      <w:r>
        <w:rPr>
          <w:rFonts w:ascii="Arial" w:hAnsi="Arial" w:eastAsia="Arial" w:cs="Arial"/>
          <w:color w:val="000000"/>
          <w:sz w:val="24"/>
        </w:rPr>
        <w:t xml:space="preserve">nical input, organisational context, risk fields (likelihood and impact), ownership, control mapping, traceability and evaluation evidence. Table 2.2 reports this coverage across the five approach categories. A feature is marked "Not reported" only where t</w:t>
      </w:r>
      <w:r>
        <w:rPr>
          <w:rFonts w:ascii="Arial" w:hAnsi="Arial" w:eastAsia="Arial" w:cs="Arial"/>
          <w:color w:val="000000"/>
          <w:sz w:val="24"/>
        </w:rPr>
        <w:t xml:space="preserve">he reviewed studies do not discuss it; this is not treated as evidence that no such mechanism exists elsewhere in the literature or in established risk-management standards, only that the reviewed IAM and access-control studies themselves do not report it.</w:t>
      </w:r>
      <w:r/>
    </w:p>
    <w:tbl>
      <w:tblPr>
        <w:tblStyle w:val="890"/>
        <w:jc w:val="center"/>
        <w:tblW w:w="0" w:type="auto"/>
        <w:tblBorders/>
        <w:tblLook w:val="04A0" w:firstRow="1" w:lastRow="0" w:firstColumn="1" w:lastColumn="0" w:noHBand="0" w:noVBand="1"/>
      </w:tblPr>
      <w:tblGrid>
        <w:gridCol w:w="1069"/>
        <w:gridCol w:w="1069"/>
        <w:gridCol w:w="1069"/>
        <w:gridCol w:w="1069"/>
        <w:gridCol w:w="1069"/>
        <w:gridCol w:w="1069"/>
        <w:gridCol w:w="1069"/>
        <w:gridCol w:w="1069"/>
      </w:tblGrid>
      <w:tr>
        <w:trPr/>
        <w:tc>
          <w:tcPr>
            <w:tcBorders/>
            <w:tcW w:w="1872" w:type="dxa"/>
          </w:tcPr>
          <w:p w14:paraId="2BE0243E">
            <w:pPr>
              <w:pBdr/>
              <w:spacing/>
              <w:ind/>
              <w:jc w:val="center"/>
              <w:rPr/>
            </w:pPr>
            <w:r>
              <w:rPr>
                <w:rFonts w:ascii="Arial" w:hAnsi="Arial" w:eastAsia="Arial" w:cs="Arial"/>
                <w:b/>
                <w:color w:val="000000"/>
                <w:sz w:val="16"/>
              </w:rPr>
              <w:t xml:space="preserve">Approach</w:t>
            </w:r>
            <w:r/>
          </w:p>
        </w:tc>
        <w:tc>
          <w:tcPr>
            <w:tcBorders/>
            <w:tcW w:w="893" w:type="dxa"/>
          </w:tcPr>
          <w:p w14:paraId="57CA1BBF">
            <w:pPr>
              <w:pBdr/>
              <w:spacing/>
              <w:ind/>
              <w:jc w:val="center"/>
              <w:rPr/>
            </w:pPr>
            <w:r>
              <w:rPr>
                <w:rFonts w:ascii="Arial" w:hAnsi="Arial" w:eastAsia="Arial" w:cs="Arial"/>
                <w:b/>
                <w:color w:val="000000"/>
                <w:sz w:val="16"/>
              </w:rPr>
              <w:t xml:space="preserve">Technical Input</w:t>
            </w:r>
            <w:r/>
          </w:p>
        </w:tc>
        <w:tc>
          <w:tcPr>
            <w:tcBorders/>
            <w:tcW w:w="893" w:type="dxa"/>
          </w:tcPr>
          <w:p w14:paraId="05E44A6F">
            <w:pPr>
              <w:pBdr/>
              <w:spacing/>
              <w:ind/>
              <w:jc w:val="center"/>
              <w:rPr/>
            </w:pPr>
            <w:r>
              <w:rPr>
                <w:rFonts w:ascii="Arial" w:hAnsi="Arial" w:eastAsia="Arial" w:cs="Arial"/>
                <w:b/>
                <w:color w:val="000000"/>
                <w:sz w:val="16"/>
              </w:rPr>
              <w:t xml:space="preserve">Org. Context</w:t>
            </w:r>
            <w:r/>
          </w:p>
        </w:tc>
        <w:tc>
          <w:tcPr>
            <w:tcBorders/>
            <w:tcW w:w="893" w:type="dxa"/>
          </w:tcPr>
          <w:p w14:paraId="35A436C0">
            <w:pPr>
              <w:pBdr/>
              <w:spacing/>
              <w:ind/>
              <w:jc w:val="center"/>
              <w:rPr/>
            </w:pPr>
            <w:r>
              <w:rPr>
                <w:rFonts w:ascii="Arial" w:hAnsi="Arial" w:eastAsia="Arial" w:cs="Arial"/>
                <w:b/>
                <w:color w:val="000000"/>
                <w:sz w:val="16"/>
              </w:rPr>
              <w:t xml:space="preserve">Risk Fields</w:t>
            </w:r>
            <w:r/>
          </w:p>
        </w:tc>
        <w:tc>
          <w:tcPr>
            <w:tcBorders/>
            <w:tcW w:w="893" w:type="dxa"/>
          </w:tcPr>
          <w:p w14:paraId="735CE98A">
            <w:pPr>
              <w:pBdr/>
              <w:spacing/>
              <w:ind/>
              <w:jc w:val="center"/>
              <w:rPr/>
            </w:pPr>
            <w:r>
              <w:rPr>
                <w:rFonts w:ascii="Arial" w:hAnsi="Arial" w:eastAsia="Arial" w:cs="Arial"/>
                <w:b/>
                <w:color w:val="000000"/>
                <w:sz w:val="16"/>
              </w:rPr>
              <w:t xml:space="preserve">Ownership</w:t>
            </w:r>
            <w:r/>
          </w:p>
        </w:tc>
        <w:tc>
          <w:tcPr>
            <w:tcBorders/>
            <w:tcW w:w="1008" w:type="dxa"/>
          </w:tcPr>
          <w:p w14:paraId="1826FA24">
            <w:pPr>
              <w:pBdr/>
              <w:spacing/>
              <w:ind/>
              <w:jc w:val="center"/>
              <w:rPr/>
            </w:pPr>
            <w:r>
              <w:rPr>
                <w:rFonts w:ascii="Arial" w:hAnsi="Arial" w:eastAsia="Arial" w:cs="Arial"/>
                <w:b/>
                <w:color w:val="000000"/>
                <w:sz w:val="16"/>
              </w:rPr>
              <w:t xml:space="preserve">Control Mapping</w:t>
            </w:r>
            <w:r/>
          </w:p>
        </w:tc>
        <w:tc>
          <w:tcPr>
            <w:tcBorders/>
            <w:tcW w:w="893" w:type="dxa"/>
          </w:tcPr>
          <w:p w14:paraId="3F68A2A5">
            <w:pPr>
              <w:pBdr/>
              <w:spacing/>
              <w:ind/>
              <w:jc w:val="center"/>
              <w:rPr/>
            </w:pPr>
            <w:r>
              <w:rPr>
                <w:rFonts w:ascii="Arial" w:hAnsi="Arial" w:eastAsia="Arial" w:cs="Arial"/>
                <w:b/>
                <w:color w:val="000000"/>
                <w:sz w:val="16"/>
              </w:rPr>
              <w:t xml:space="preserve">Traceability</w:t>
            </w:r>
            <w:r/>
          </w:p>
        </w:tc>
        <w:tc>
          <w:tcPr>
            <w:tcBorders/>
            <w:tcW w:w="864" w:type="dxa"/>
          </w:tcPr>
          <w:p w14:paraId="6DD868EE">
            <w:pPr>
              <w:pBdr/>
              <w:spacing/>
              <w:ind/>
              <w:jc w:val="center"/>
              <w:rPr/>
            </w:pPr>
            <w:r>
              <w:rPr>
                <w:rFonts w:ascii="Arial" w:hAnsi="Arial" w:eastAsia="Arial" w:cs="Arial"/>
                <w:b/>
                <w:color w:val="000000"/>
                <w:sz w:val="16"/>
              </w:rPr>
              <w:t xml:space="preserve">Evaluation</w:t>
            </w:r>
            <w:r/>
          </w:p>
        </w:tc>
      </w:tr>
      <w:tr>
        <w:trPr/>
        <w:tc>
          <w:tcPr>
            <w:tcBorders/>
            <w:tcW w:w="1872" w:type="dxa"/>
          </w:tcPr>
          <w:p w14:paraId="24AFC60F">
            <w:pPr>
              <w:pBdr/>
              <w:spacing/>
              <w:ind/>
              <w:jc w:val="left"/>
              <w:rPr/>
            </w:pPr>
            <w:r>
              <w:rPr>
                <w:rFonts w:ascii="Arial" w:hAnsi="Arial" w:eastAsia="Arial" w:cs="Arial"/>
                <w:b w:val="0"/>
                <w:color w:val="000000"/>
                <w:sz w:val="16"/>
              </w:rPr>
              <w:t xml:space="preserve">Identity governance &amp; privilege mining</w:t>
            </w:r>
            <w:r/>
          </w:p>
        </w:tc>
        <w:tc>
          <w:tcPr>
            <w:tcBorders/>
            <w:tcW w:w="893" w:type="dxa"/>
          </w:tcPr>
          <w:p w14:paraId="7D76C3A4">
            <w:pPr>
              <w:pBdr/>
              <w:spacing/>
              <w:ind/>
              <w:jc w:val="center"/>
              <w:rPr/>
            </w:pPr>
            <w:r>
              <w:rPr>
                <w:rFonts w:ascii="Arial" w:hAnsi="Arial" w:eastAsia="Arial" w:cs="Arial"/>
                <w:b w:val="0"/>
                <w:color w:val="000000"/>
                <w:sz w:val="16"/>
              </w:rPr>
              <w:t xml:space="preserve">Reported</w:t>
            </w:r>
            <w:r/>
          </w:p>
        </w:tc>
        <w:tc>
          <w:tcPr>
            <w:tcBorders/>
            <w:tcW w:w="893" w:type="dxa"/>
          </w:tcPr>
          <w:p w14:paraId="5239B4F0">
            <w:pPr>
              <w:pBdr/>
              <w:spacing/>
              <w:ind/>
              <w:jc w:val="center"/>
              <w:rPr/>
            </w:pPr>
            <w:r>
              <w:rPr>
                <w:rFonts w:ascii="Arial" w:hAnsi="Arial" w:eastAsia="Arial" w:cs="Arial"/>
                <w:b w:val="0"/>
                <w:color w:val="000000"/>
                <w:sz w:val="16"/>
              </w:rPr>
              <w:t xml:space="preserve">Partial</w:t>
            </w:r>
            <w:r/>
          </w:p>
        </w:tc>
        <w:tc>
          <w:tcPr>
            <w:tcBorders/>
            <w:tcW w:w="893" w:type="dxa"/>
          </w:tcPr>
          <w:p w14:paraId="57E3F964">
            <w:pPr>
              <w:pBdr/>
              <w:spacing/>
              <w:ind/>
              <w:jc w:val="center"/>
              <w:rPr/>
            </w:pPr>
            <w:r>
              <w:rPr>
                <w:rFonts w:ascii="Arial" w:hAnsi="Arial" w:eastAsia="Arial" w:cs="Arial"/>
                <w:b w:val="0"/>
                <w:color w:val="000000"/>
                <w:sz w:val="16"/>
              </w:rPr>
              <w:t xml:space="preserve">Not reported</w:t>
            </w:r>
            <w:r/>
          </w:p>
        </w:tc>
        <w:tc>
          <w:tcPr>
            <w:tcBorders/>
            <w:tcW w:w="893" w:type="dxa"/>
          </w:tcPr>
          <w:p w14:paraId="51330112">
            <w:pPr>
              <w:pBdr/>
              <w:spacing/>
              <w:ind/>
              <w:jc w:val="center"/>
              <w:rPr/>
            </w:pPr>
            <w:r>
              <w:rPr>
                <w:rFonts w:ascii="Arial" w:hAnsi="Arial" w:eastAsia="Arial" w:cs="Arial"/>
                <w:b w:val="0"/>
                <w:color w:val="000000"/>
                <w:sz w:val="16"/>
              </w:rPr>
              <w:t xml:space="preserve">Not reported</w:t>
            </w:r>
            <w:r/>
          </w:p>
        </w:tc>
        <w:tc>
          <w:tcPr>
            <w:tcBorders/>
            <w:tcW w:w="1008" w:type="dxa"/>
          </w:tcPr>
          <w:p w14:paraId="72DA9EE8">
            <w:pPr>
              <w:pBdr/>
              <w:spacing/>
              <w:ind/>
              <w:jc w:val="center"/>
              <w:rPr/>
            </w:pPr>
            <w:r>
              <w:rPr>
                <w:rFonts w:ascii="Arial" w:hAnsi="Arial" w:eastAsia="Arial" w:cs="Arial"/>
                <w:b w:val="0"/>
                <w:color w:val="000000"/>
                <w:sz w:val="16"/>
              </w:rPr>
              <w:t xml:space="preserve">Not reported</w:t>
            </w:r>
            <w:r/>
          </w:p>
        </w:tc>
        <w:tc>
          <w:tcPr>
            <w:tcBorders/>
            <w:tcW w:w="893" w:type="dxa"/>
          </w:tcPr>
          <w:p w14:paraId="421F7933">
            <w:pPr>
              <w:pBdr/>
              <w:spacing/>
              <w:ind/>
              <w:jc w:val="center"/>
              <w:rPr/>
            </w:pPr>
            <w:r>
              <w:rPr>
                <w:rFonts w:ascii="Arial" w:hAnsi="Arial" w:eastAsia="Arial" w:cs="Arial"/>
                <w:b w:val="0"/>
                <w:color w:val="000000"/>
                <w:sz w:val="16"/>
              </w:rPr>
              <w:t xml:space="preserve">Partial</w:t>
            </w:r>
            <w:r/>
          </w:p>
        </w:tc>
        <w:tc>
          <w:tcPr>
            <w:tcBorders/>
            <w:tcW w:w="864" w:type="dxa"/>
          </w:tcPr>
          <w:p w14:paraId="5609929E">
            <w:pPr>
              <w:pBdr/>
              <w:spacing/>
              <w:ind/>
              <w:jc w:val="center"/>
              <w:rPr/>
            </w:pPr>
            <w:r>
              <w:rPr>
                <w:rFonts w:ascii="Arial" w:hAnsi="Arial" w:eastAsia="Arial" w:cs="Arial"/>
                <w:b w:val="0"/>
                <w:color w:val="000000"/>
                <w:sz w:val="16"/>
              </w:rPr>
              <w:t xml:space="preserve">Reported</w:t>
            </w:r>
            <w:r/>
          </w:p>
        </w:tc>
      </w:tr>
      <w:tr>
        <w:trPr/>
        <w:tc>
          <w:tcPr>
            <w:tcBorders/>
            <w:tcW w:w="1872" w:type="dxa"/>
          </w:tcPr>
          <w:p w14:paraId="66A5FE01">
            <w:pPr>
              <w:pBdr/>
              <w:spacing/>
              <w:ind/>
              <w:jc w:val="left"/>
              <w:rPr/>
            </w:pPr>
            <w:r>
              <w:rPr>
                <w:rFonts w:ascii="Arial" w:hAnsi="Arial" w:eastAsia="Arial" w:cs="Arial"/>
                <w:b w:val="0"/>
                <w:color w:val="000000"/>
                <w:sz w:val="16"/>
              </w:rPr>
              <w:t xml:space="preserve">Risk-based &amp; adaptive authentication</w:t>
            </w:r>
            <w:r/>
          </w:p>
        </w:tc>
        <w:tc>
          <w:tcPr>
            <w:tcBorders/>
            <w:tcW w:w="893" w:type="dxa"/>
          </w:tcPr>
          <w:p w14:paraId="53837850">
            <w:pPr>
              <w:pBdr/>
              <w:spacing/>
              <w:ind/>
              <w:jc w:val="center"/>
              <w:rPr/>
            </w:pPr>
            <w:r>
              <w:rPr>
                <w:rFonts w:ascii="Arial" w:hAnsi="Arial" w:eastAsia="Arial" w:cs="Arial"/>
                <w:b w:val="0"/>
                <w:color w:val="000000"/>
                <w:sz w:val="16"/>
              </w:rPr>
              <w:t xml:space="preserve">Reported</w:t>
            </w:r>
            <w:r/>
          </w:p>
        </w:tc>
        <w:tc>
          <w:tcPr>
            <w:tcBorders/>
            <w:tcW w:w="893" w:type="dxa"/>
          </w:tcPr>
          <w:p w14:paraId="497E2AB3">
            <w:pPr>
              <w:pBdr/>
              <w:spacing/>
              <w:ind/>
              <w:jc w:val="center"/>
              <w:rPr/>
            </w:pPr>
            <w:r>
              <w:rPr>
                <w:rFonts w:ascii="Arial" w:hAnsi="Arial" w:eastAsia="Arial" w:cs="Arial"/>
                <w:b w:val="0"/>
                <w:color w:val="000000"/>
                <w:sz w:val="16"/>
              </w:rPr>
              <w:t xml:space="preserve">Not reported</w:t>
            </w:r>
            <w:r/>
          </w:p>
        </w:tc>
        <w:tc>
          <w:tcPr>
            <w:tcBorders/>
            <w:tcW w:w="893" w:type="dxa"/>
          </w:tcPr>
          <w:p w14:paraId="4FAC15F8">
            <w:pPr>
              <w:pBdr/>
              <w:spacing/>
              <w:ind/>
              <w:jc w:val="center"/>
              <w:rPr/>
            </w:pPr>
            <w:r>
              <w:rPr>
                <w:rFonts w:ascii="Arial" w:hAnsi="Arial" w:eastAsia="Arial" w:cs="Arial"/>
                <w:b w:val="0"/>
                <w:color w:val="000000"/>
                <w:sz w:val="16"/>
              </w:rPr>
              <w:t xml:space="preserve">Partial</w:t>
            </w:r>
            <w:r/>
          </w:p>
        </w:tc>
        <w:tc>
          <w:tcPr>
            <w:tcBorders/>
            <w:tcW w:w="893" w:type="dxa"/>
          </w:tcPr>
          <w:p w14:paraId="4EAD9CDA">
            <w:pPr>
              <w:pBdr/>
              <w:spacing/>
              <w:ind/>
              <w:jc w:val="center"/>
              <w:rPr/>
            </w:pPr>
            <w:r>
              <w:rPr>
                <w:rFonts w:ascii="Arial" w:hAnsi="Arial" w:eastAsia="Arial" w:cs="Arial"/>
                <w:b w:val="0"/>
                <w:color w:val="000000"/>
                <w:sz w:val="16"/>
              </w:rPr>
              <w:t xml:space="preserve">Not reported</w:t>
            </w:r>
            <w:r/>
          </w:p>
        </w:tc>
        <w:tc>
          <w:tcPr>
            <w:tcBorders/>
            <w:tcW w:w="1008" w:type="dxa"/>
          </w:tcPr>
          <w:p w14:paraId="5A3A9EFD">
            <w:pPr>
              <w:pBdr/>
              <w:spacing/>
              <w:ind/>
              <w:jc w:val="center"/>
              <w:rPr/>
            </w:pPr>
            <w:r>
              <w:rPr>
                <w:rFonts w:ascii="Arial" w:hAnsi="Arial" w:eastAsia="Arial" w:cs="Arial"/>
                <w:b w:val="0"/>
                <w:color w:val="000000"/>
                <w:sz w:val="16"/>
              </w:rPr>
              <w:t xml:space="preserve">Not reported</w:t>
            </w:r>
            <w:r/>
          </w:p>
        </w:tc>
        <w:tc>
          <w:tcPr>
            <w:tcBorders/>
            <w:tcW w:w="893" w:type="dxa"/>
          </w:tcPr>
          <w:p w14:paraId="0A8B645E">
            <w:pPr>
              <w:pBdr/>
              <w:spacing/>
              <w:ind/>
              <w:jc w:val="center"/>
              <w:rPr/>
            </w:pPr>
            <w:r>
              <w:rPr>
                <w:rFonts w:ascii="Arial" w:hAnsi="Arial" w:eastAsia="Arial" w:cs="Arial"/>
                <w:b w:val="0"/>
                <w:color w:val="000000"/>
                <w:sz w:val="16"/>
              </w:rPr>
              <w:t xml:space="preserve">Not reported</w:t>
            </w:r>
            <w:r/>
          </w:p>
        </w:tc>
        <w:tc>
          <w:tcPr>
            <w:tcBorders/>
            <w:tcW w:w="864" w:type="dxa"/>
          </w:tcPr>
          <w:p w14:paraId="0545BEA5">
            <w:pPr>
              <w:pBdr/>
              <w:spacing/>
              <w:ind/>
              <w:jc w:val="center"/>
              <w:rPr/>
            </w:pPr>
            <w:r>
              <w:rPr>
                <w:rFonts w:ascii="Arial" w:hAnsi="Arial" w:eastAsia="Arial" w:cs="Arial"/>
                <w:b w:val="0"/>
                <w:color w:val="000000"/>
                <w:sz w:val="16"/>
              </w:rPr>
              <w:t xml:space="preserve">Partial</w:t>
            </w:r>
            <w:r/>
          </w:p>
        </w:tc>
      </w:tr>
      <w:tr>
        <w:trPr/>
        <w:tc>
          <w:tcPr>
            <w:tcBorders/>
            <w:tcW w:w="1872" w:type="dxa"/>
          </w:tcPr>
          <w:p w14:paraId="6E1A2F7D">
            <w:pPr>
              <w:pBdr/>
              <w:spacing/>
              <w:ind/>
              <w:jc w:val="left"/>
              <w:rPr/>
            </w:pPr>
            <w:r>
              <w:rPr>
                <w:rFonts w:ascii="Arial" w:hAnsi="Arial" w:eastAsia="Arial" w:cs="Arial"/>
                <w:b w:val="0"/>
                <w:color w:val="000000"/>
                <w:sz w:val="16"/>
              </w:rPr>
              <w:t xml:space="preserve">Zero Trust &amp; continuous evaluation</w:t>
            </w:r>
            <w:r/>
          </w:p>
        </w:tc>
        <w:tc>
          <w:tcPr>
            <w:tcBorders/>
            <w:tcW w:w="893" w:type="dxa"/>
          </w:tcPr>
          <w:p w14:paraId="47870360">
            <w:pPr>
              <w:pBdr/>
              <w:spacing/>
              <w:ind/>
              <w:jc w:val="center"/>
              <w:rPr/>
            </w:pPr>
            <w:r>
              <w:rPr>
                <w:rFonts w:ascii="Arial" w:hAnsi="Arial" w:eastAsia="Arial" w:cs="Arial"/>
                <w:b w:val="0"/>
                <w:color w:val="000000"/>
                <w:sz w:val="16"/>
              </w:rPr>
              <w:t xml:space="preserve">Reported</w:t>
            </w:r>
            <w:r/>
          </w:p>
        </w:tc>
        <w:tc>
          <w:tcPr>
            <w:tcBorders/>
            <w:tcW w:w="893" w:type="dxa"/>
          </w:tcPr>
          <w:p w14:paraId="100E65B5">
            <w:pPr>
              <w:pBdr/>
              <w:spacing/>
              <w:ind/>
              <w:jc w:val="center"/>
              <w:rPr/>
            </w:pPr>
            <w:r>
              <w:rPr>
                <w:rFonts w:ascii="Arial" w:hAnsi="Arial" w:eastAsia="Arial" w:cs="Arial"/>
                <w:b w:val="0"/>
                <w:color w:val="000000"/>
                <w:sz w:val="16"/>
              </w:rPr>
              <w:t xml:space="preserve">Not reported</w:t>
            </w:r>
            <w:r/>
          </w:p>
        </w:tc>
        <w:tc>
          <w:tcPr>
            <w:tcBorders/>
            <w:tcW w:w="893" w:type="dxa"/>
          </w:tcPr>
          <w:p w14:paraId="565FCAC9">
            <w:pPr>
              <w:pBdr/>
              <w:spacing/>
              <w:ind/>
              <w:jc w:val="center"/>
              <w:rPr/>
            </w:pPr>
            <w:r>
              <w:rPr>
                <w:rFonts w:ascii="Arial" w:hAnsi="Arial" w:eastAsia="Arial" w:cs="Arial"/>
                <w:b w:val="0"/>
                <w:color w:val="000000"/>
                <w:sz w:val="16"/>
              </w:rPr>
              <w:t xml:space="preserve">Partial</w:t>
            </w:r>
            <w:r/>
          </w:p>
        </w:tc>
        <w:tc>
          <w:tcPr>
            <w:tcBorders/>
            <w:tcW w:w="893" w:type="dxa"/>
          </w:tcPr>
          <w:p w14:paraId="579C1D90">
            <w:pPr>
              <w:pBdr/>
              <w:spacing/>
              <w:ind/>
              <w:jc w:val="center"/>
              <w:rPr/>
            </w:pPr>
            <w:r>
              <w:rPr>
                <w:rFonts w:ascii="Arial" w:hAnsi="Arial" w:eastAsia="Arial" w:cs="Arial"/>
                <w:b w:val="0"/>
                <w:color w:val="000000"/>
                <w:sz w:val="16"/>
              </w:rPr>
              <w:t xml:space="preserve">Not reported</w:t>
            </w:r>
            <w:r/>
          </w:p>
        </w:tc>
        <w:tc>
          <w:tcPr>
            <w:tcBorders/>
            <w:tcW w:w="1008" w:type="dxa"/>
          </w:tcPr>
          <w:p w14:paraId="107CAE89">
            <w:pPr>
              <w:pBdr/>
              <w:spacing/>
              <w:ind/>
              <w:jc w:val="center"/>
              <w:rPr/>
            </w:pPr>
            <w:r>
              <w:rPr>
                <w:rFonts w:ascii="Arial" w:hAnsi="Arial" w:eastAsia="Arial" w:cs="Arial"/>
                <w:b w:val="0"/>
                <w:color w:val="000000"/>
                <w:sz w:val="16"/>
              </w:rPr>
              <w:t xml:space="preserve">Not reported</w:t>
            </w:r>
            <w:r/>
          </w:p>
        </w:tc>
        <w:tc>
          <w:tcPr>
            <w:tcBorders/>
            <w:tcW w:w="893" w:type="dxa"/>
          </w:tcPr>
          <w:p w14:paraId="10C6A299">
            <w:pPr>
              <w:pBdr/>
              <w:spacing/>
              <w:ind/>
              <w:jc w:val="center"/>
              <w:rPr/>
            </w:pPr>
            <w:r>
              <w:rPr>
                <w:rFonts w:ascii="Arial" w:hAnsi="Arial" w:eastAsia="Arial" w:cs="Arial"/>
                <w:b w:val="0"/>
                <w:color w:val="000000"/>
                <w:sz w:val="16"/>
              </w:rPr>
              <w:t xml:space="preserve">Partial</w:t>
            </w:r>
            <w:r/>
          </w:p>
        </w:tc>
        <w:tc>
          <w:tcPr>
            <w:tcBorders/>
            <w:tcW w:w="864" w:type="dxa"/>
          </w:tcPr>
          <w:p w14:paraId="2B078389">
            <w:pPr>
              <w:pBdr/>
              <w:spacing/>
              <w:ind/>
              <w:jc w:val="center"/>
              <w:rPr/>
            </w:pPr>
            <w:r>
              <w:rPr>
                <w:rFonts w:ascii="Arial" w:hAnsi="Arial" w:eastAsia="Arial" w:cs="Arial"/>
                <w:b w:val="0"/>
                <w:color w:val="000000"/>
                <w:sz w:val="16"/>
              </w:rPr>
              <w:t xml:space="preserve">Reported</w:t>
            </w:r>
            <w:r/>
          </w:p>
        </w:tc>
      </w:tr>
      <w:tr>
        <w:trPr/>
        <w:tc>
          <w:tcPr>
            <w:tcBorders/>
            <w:tcW w:w="1872" w:type="dxa"/>
          </w:tcPr>
          <w:p w14:paraId="5EF17C45">
            <w:pPr>
              <w:pBdr/>
              <w:spacing/>
              <w:ind/>
              <w:jc w:val="left"/>
              <w:rPr/>
            </w:pPr>
            <w:r>
              <w:rPr>
                <w:rFonts w:ascii="Arial" w:hAnsi="Arial" w:eastAsia="Arial" w:cs="Arial"/>
                <w:b w:val="0"/>
                <w:color w:val="000000"/>
                <w:sz w:val="16"/>
              </w:rPr>
              <w:t xml:space="preserve">Decentralized identity &amp; blockchain</w:t>
            </w:r>
            <w:r/>
          </w:p>
        </w:tc>
        <w:tc>
          <w:tcPr>
            <w:tcBorders/>
            <w:tcW w:w="893" w:type="dxa"/>
          </w:tcPr>
          <w:p w14:paraId="0D47B4AE">
            <w:pPr>
              <w:pBdr/>
              <w:spacing/>
              <w:ind/>
              <w:jc w:val="center"/>
              <w:rPr/>
            </w:pPr>
            <w:r>
              <w:rPr>
                <w:rFonts w:ascii="Arial" w:hAnsi="Arial" w:eastAsia="Arial" w:cs="Arial"/>
                <w:b w:val="0"/>
                <w:color w:val="000000"/>
                <w:sz w:val="16"/>
              </w:rPr>
              <w:t xml:space="preserve">Reported</w:t>
            </w:r>
            <w:r/>
          </w:p>
        </w:tc>
        <w:tc>
          <w:tcPr>
            <w:tcBorders/>
            <w:tcW w:w="893" w:type="dxa"/>
          </w:tcPr>
          <w:p w14:paraId="66AF1339">
            <w:pPr>
              <w:pBdr/>
              <w:spacing/>
              <w:ind/>
              <w:jc w:val="center"/>
              <w:rPr/>
            </w:pPr>
            <w:r>
              <w:rPr>
                <w:rFonts w:ascii="Arial" w:hAnsi="Arial" w:eastAsia="Arial" w:cs="Arial"/>
                <w:b w:val="0"/>
                <w:color w:val="000000"/>
                <w:sz w:val="16"/>
              </w:rPr>
              <w:t xml:space="preserve">Not reported</w:t>
            </w:r>
            <w:r/>
          </w:p>
        </w:tc>
        <w:tc>
          <w:tcPr>
            <w:tcBorders/>
            <w:tcW w:w="893" w:type="dxa"/>
          </w:tcPr>
          <w:p w14:paraId="424CB69D">
            <w:pPr>
              <w:pBdr/>
              <w:spacing/>
              <w:ind/>
              <w:jc w:val="center"/>
              <w:rPr/>
            </w:pPr>
            <w:r>
              <w:rPr>
                <w:rFonts w:ascii="Arial" w:hAnsi="Arial" w:eastAsia="Arial" w:cs="Arial"/>
                <w:b w:val="0"/>
                <w:color w:val="000000"/>
                <w:sz w:val="16"/>
              </w:rPr>
              <w:t xml:space="preserve">Partial</w:t>
            </w:r>
            <w:r/>
          </w:p>
        </w:tc>
        <w:tc>
          <w:tcPr>
            <w:tcBorders/>
            <w:tcW w:w="893" w:type="dxa"/>
          </w:tcPr>
          <w:p w14:paraId="3A9521D2">
            <w:pPr>
              <w:pBdr/>
              <w:spacing/>
              <w:ind/>
              <w:jc w:val="center"/>
              <w:rPr/>
            </w:pPr>
            <w:r>
              <w:rPr>
                <w:rFonts w:ascii="Arial" w:hAnsi="Arial" w:eastAsia="Arial" w:cs="Arial"/>
                <w:b w:val="0"/>
                <w:color w:val="000000"/>
                <w:sz w:val="16"/>
              </w:rPr>
              <w:t xml:space="preserve">Not reported</w:t>
            </w:r>
            <w:r/>
          </w:p>
        </w:tc>
        <w:tc>
          <w:tcPr>
            <w:tcBorders/>
            <w:tcW w:w="1008" w:type="dxa"/>
          </w:tcPr>
          <w:p w14:paraId="39B980E9">
            <w:pPr>
              <w:pBdr/>
              <w:spacing/>
              <w:ind/>
              <w:jc w:val="center"/>
              <w:rPr/>
            </w:pPr>
            <w:r>
              <w:rPr>
                <w:rFonts w:ascii="Arial" w:hAnsi="Arial" w:eastAsia="Arial" w:cs="Arial"/>
                <w:b w:val="0"/>
                <w:color w:val="000000"/>
                <w:sz w:val="16"/>
              </w:rPr>
              <w:t xml:space="preserve">Not reported</w:t>
            </w:r>
            <w:r/>
          </w:p>
        </w:tc>
        <w:tc>
          <w:tcPr>
            <w:tcBorders/>
            <w:tcW w:w="893" w:type="dxa"/>
          </w:tcPr>
          <w:p w14:paraId="6BBC15EF">
            <w:pPr>
              <w:pBdr/>
              <w:spacing/>
              <w:ind/>
              <w:jc w:val="center"/>
              <w:rPr/>
            </w:pPr>
            <w:r>
              <w:rPr>
                <w:rFonts w:ascii="Arial" w:hAnsi="Arial" w:eastAsia="Arial" w:cs="Arial"/>
                <w:b w:val="0"/>
                <w:color w:val="000000"/>
                <w:sz w:val="16"/>
              </w:rPr>
              <w:t xml:space="preserve">Not reported</w:t>
            </w:r>
            <w:r/>
          </w:p>
        </w:tc>
        <w:tc>
          <w:tcPr>
            <w:tcBorders/>
            <w:tcW w:w="864" w:type="dxa"/>
          </w:tcPr>
          <w:p w14:paraId="32D238CB">
            <w:pPr>
              <w:pBdr/>
              <w:spacing/>
              <w:ind/>
              <w:jc w:val="center"/>
              <w:rPr/>
            </w:pPr>
            <w:r>
              <w:rPr>
                <w:rFonts w:ascii="Arial" w:hAnsi="Arial" w:eastAsia="Arial" w:cs="Arial"/>
                <w:b w:val="0"/>
                <w:color w:val="000000"/>
                <w:sz w:val="16"/>
              </w:rPr>
              <w:t xml:space="preserve">Reported</w:t>
            </w:r>
            <w:r/>
          </w:p>
        </w:tc>
      </w:tr>
      <w:tr>
        <w:trPr/>
        <w:tc>
          <w:tcPr>
            <w:tcBorders/>
            <w:tcW w:w="1872" w:type="dxa"/>
          </w:tcPr>
          <w:p w14:paraId="1F5A8C53">
            <w:pPr>
              <w:pBdr/>
              <w:spacing/>
              <w:ind/>
              <w:jc w:val="left"/>
              <w:rPr/>
            </w:pPr>
            <w:r>
              <w:rPr>
                <w:rFonts w:ascii="Arial" w:hAnsi="Arial" w:eastAsia="Arial" w:cs="Arial"/>
                <w:b w:val="0"/>
                <w:color w:val="000000"/>
                <w:sz w:val="16"/>
              </w:rPr>
              <w:t xml:space="preserve">GRC-oriented IAM frameworks</w:t>
            </w:r>
            <w:r/>
          </w:p>
        </w:tc>
        <w:tc>
          <w:tcPr>
            <w:tcBorders/>
            <w:tcW w:w="893" w:type="dxa"/>
          </w:tcPr>
          <w:p w14:paraId="5F8D9810">
            <w:pPr>
              <w:pBdr/>
              <w:spacing/>
              <w:ind/>
              <w:jc w:val="center"/>
              <w:rPr/>
            </w:pPr>
            <w:r>
              <w:rPr>
                <w:rFonts w:ascii="Arial" w:hAnsi="Arial" w:eastAsia="Arial" w:cs="Arial"/>
                <w:b w:val="0"/>
                <w:color w:val="000000"/>
                <w:sz w:val="16"/>
              </w:rPr>
              <w:t xml:space="preserve">Partial</w:t>
            </w:r>
            <w:r/>
          </w:p>
        </w:tc>
        <w:tc>
          <w:tcPr>
            <w:tcBorders/>
            <w:tcW w:w="893" w:type="dxa"/>
          </w:tcPr>
          <w:p w14:paraId="01B5B8B2">
            <w:pPr>
              <w:pBdr/>
              <w:spacing/>
              <w:ind/>
              <w:jc w:val="center"/>
              <w:rPr/>
            </w:pPr>
            <w:r>
              <w:rPr>
                <w:rFonts w:ascii="Arial" w:hAnsi="Arial" w:eastAsia="Arial" w:cs="Arial"/>
                <w:b w:val="0"/>
                <w:color w:val="000000"/>
                <w:sz w:val="16"/>
              </w:rPr>
              <w:t xml:space="preserve">Reported</w:t>
            </w:r>
            <w:r/>
          </w:p>
        </w:tc>
        <w:tc>
          <w:tcPr>
            <w:tcBorders/>
            <w:tcW w:w="893" w:type="dxa"/>
          </w:tcPr>
          <w:p w14:paraId="614857D6">
            <w:pPr>
              <w:pBdr/>
              <w:spacing/>
              <w:ind/>
              <w:jc w:val="center"/>
              <w:rPr/>
            </w:pPr>
            <w:r>
              <w:rPr>
                <w:rFonts w:ascii="Arial" w:hAnsi="Arial" w:eastAsia="Arial" w:cs="Arial"/>
                <w:b w:val="0"/>
                <w:color w:val="000000"/>
                <w:sz w:val="16"/>
              </w:rPr>
              <w:t xml:space="preserve">Partial</w:t>
            </w:r>
            <w:r/>
          </w:p>
        </w:tc>
        <w:tc>
          <w:tcPr>
            <w:tcBorders/>
            <w:tcW w:w="893" w:type="dxa"/>
          </w:tcPr>
          <w:p w14:paraId="4CBB0019">
            <w:pPr>
              <w:pBdr/>
              <w:spacing/>
              <w:ind/>
              <w:jc w:val="center"/>
              <w:rPr/>
            </w:pPr>
            <w:r>
              <w:rPr>
                <w:rFonts w:ascii="Arial" w:hAnsi="Arial" w:eastAsia="Arial" w:cs="Arial"/>
                <w:b w:val="0"/>
                <w:color w:val="000000"/>
                <w:sz w:val="16"/>
              </w:rPr>
              <w:t xml:space="preserve">Partial</w:t>
            </w:r>
            <w:r/>
          </w:p>
        </w:tc>
        <w:tc>
          <w:tcPr>
            <w:tcBorders/>
            <w:tcW w:w="1008" w:type="dxa"/>
          </w:tcPr>
          <w:p w14:paraId="1C93E8DC">
            <w:pPr>
              <w:pBdr/>
              <w:spacing/>
              <w:ind/>
              <w:jc w:val="center"/>
              <w:rPr/>
            </w:pPr>
            <w:r>
              <w:rPr>
                <w:rFonts w:ascii="Arial" w:hAnsi="Arial" w:eastAsia="Arial" w:cs="Arial"/>
                <w:b w:val="0"/>
                <w:color w:val="000000"/>
                <w:sz w:val="16"/>
              </w:rPr>
              <w:t xml:space="preserve">Reported</w:t>
            </w:r>
            <w:r/>
          </w:p>
        </w:tc>
        <w:tc>
          <w:tcPr>
            <w:tcBorders/>
            <w:tcW w:w="893" w:type="dxa"/>
          </w:tcPr>
          <w:p w14:paraId="461E4C56">
            <w:pPr>
              <w:pBdr/>
              <w:spacing/>
              <w:ind/>
              <w:jc w:val="center"/>
              <w:rPr/>
            </w:pPr>
            <w:r>
              <w:rPr>
                <w:rFonts w:ascii="Arial" w:hAnsi="Arial" w:eastAsia="Arial" w:cs="Arial"/>
                <w:b w:val="0"/>
                <w:color w:val="000000"/>
                <w:sz w:val="16"/>
              </w:rPr>
              <w:t xml:space="preserve">Not reported</w:t>
            </w:r>
            <w:r/>
          </w:p>
        </w:tc>
        <w:tc>
          <w:tcPr>
            <w:tcBorders/>
            <w:tcW w:w="864" w:type="dxa"/>
          </w:tcPr>
          <w:p w14:paraId="4A1114FF">
            <w:pPr>
              <w:pBdr/>
              <w:spacing/>
              <w:ind/>
              <w:jc w:val="center"/>
              <w:rPr/>
            </w:pPr>
            <w:r>
              <w:rPr>
                <w:rFonts w:ascii="Arial" w:hAnsi="Arial" w:eastAsia="Arial" w:cs="Arial"/>
                <w:b w:val="0"/>
                <w:color w:val="000000"/>
                <w:sz w:val="16"/>
              </w:rPr>
              <w:t xml:space="preserve">Partial</w:t>
            </w:r>
            <w:r/>
          </w:p>
        </w:tc>
      </w:tr>
    </w:tbl>
    <w:p w14:paraId="039CD374">
      <w:pPr>
        <w:pBdr/>
        <w:spacing w:after="120" w:before="120" w:line="360" w:lineRule="auto"/>
        <w:ind/>
        <w:jc w:val="center"/>
        <w:rPr/>
      </w:pPr>
      <w:r>
        <w:rPr>
          <w:rFonts w:ascii="Arial" w:hAnsi="Arial" w:eastAsia="Arial" w:cs="Arial"/>
          <w:i/>
          <w:color w:val="000000"/>
          <w:sz w:val="24"/>
        </w:rPr>
        <w:t xml:space="preserve">Table 2.2: Feature coverage across existing IAM and access-control risk approaches</w:t>
      </w:r>
      <w:r/>
    </w:p>
    <w:p w14:paraId="7BE0BB64">
      <w:pPr>
        <w:pBdr/>
        <w:spacing w:after="120" w:before="120" w:line="360" w:lineRule="auto"/>
        <w:ind/>
        <w:jc w:val="both"/>
        <w:rPr/>
      </w:pPr>
      <w:r>
        <w:rPr>
          <w:rFonts w:ascii="Arial" w:hAnsi="Arial" w:eastAsia="Arial" w:cs="Arial"/>
          <w:color w:val="000000"/>
          <w:sz w:val="24"/>
        </w:rPr>
        <w:t xml:space="preserve">Technical input and evaluation evidence are the most consistently reported fields, reflecting the technical maturity described in Section 2.2. Organisational context and control mapping appear mainly within the GR</w:t>
      </w:r>
      <w:r>
        <w:rPr>
          <w:rFonts w:ascii="Arial" w:hAnsi="Arial" w:eastAsia="Arial" w:cs="Arial"/>
          <w:color w:val="000000"/>
          <w:sz w:val="24"/>
        </w:rPr>
        <w:t xml:space="preserve">C-oriented category, where studies explicitly reference standards such as NIST, ISO and GDPR. Risk fields expressed as likelihood and impact, named ownership and end-to-end traceability are the least consistently reported fields across all five categories.</w:t>
      </w:r>
      <w:r>
        <w:rPr>
          <w:rFonts w:ascii="Arial" w:hAnsi="Arial" w:eastAsia="Arial" w:cs="Arial"/>
          <w:color w:val="000000"/>
          <w:sz w:val="24"/>
        </w:rPr>
        <w:t xml:space="preserve"> This pattern indicates a reporting gap in the reviewed literature rather than evidence that no risk-register mechanism or guidance exists: established standards such as ISO/IEC 27005 already provide general guidance for assessing likelihood, impact and ri</w:t>
      </w:r>
      <w:r>
        <w:rPr>
          <w:rFonts w:ascii="Arial" w:hAnsi="Arial" w:eastAsia="Arial" w:cs="Arial"/>
          <w:color w:val="000000"/>
          <w:sz w:val="24"/>
        </w:rPr>
        <w:t xml:space="preserve">sk ownership. What the reviewed studies do not yet demonstrate is a sufficiently traceable, IAM-specific and tested implementation that applies this guidance to convert technical access-control findings into structured organisational risk-register entries.</w:t>
      </w:r>
      <w:r/>
    </w:p>
    <w:p w14:paraId="3800F880">
      <w:pPr>
        <w:pStyle w:val="857"/>
        <w:pBdr/>
        <w:spacing w:after="120" w:before="120" w:line="360" w:lineRule="auto"/>
        <w:ind/>
        <w:jc w:val="both"/>
        <w:rPr>
          <w:bCs/>
          <w:i/>
          <w:color w:val="000000" w:themeColor="text1"/>
          <w:sz w:val="24"/>
          <w:szCs w:val="24"/>
        </w:rPr>
      </w:pPr>
      <w:r>
        <w:rPr>
          <w:rFonts w:ascii="Arial" w:hAnsi="Arial" w:eastAsia="Arial" w:cs="Arial"/>
          <w:b/>
          <w:bCs/>
          <w:i/>
          <w:iCs/>
          <w:color w:val="000000" w:themeColor="text1"/>
          <w:sz w:val="24"/>
          <w:szCs w:val="24"/>
        </w:rPr>
        <w:t xml:space="preserve">2.4 Integrating IAM Findings with Governance, Risk and Compliance</w:t>
      </w:r>
      <w:r>
        <w:rPr>
          <w:i/>
          <w:iCs/>
          <w:color w:val="000000" w:themeColor="text1"/>
          <w:sz w:val="24"/>
          <w:szCs w:val="24"/>
        </w:rPr>
      </w:r>
      <w:r>
        <w:rPr>
          <w:bCs/>
          <w:i/>
          <w:color w:val="000000" w:themeColor="text1"/>
          <w:sz w:val="24"/>
          <w:szCs w:val="24"/>
        </w:rPr>
      </w:r>
    </w:p>
    <w:p w14:paraId="4C2E471F">
      <w:pPr>
        <w:pBdr/>
        <w:spacing w:after="120" w:before="120" w:line="360" w:lineRule="auto"/>
        <w:ind/>
        <w:jc w:val="both"/>
        <w:rPr/>
      </w:pPr>
      <w:r>
        <w:rPr>
          <w:rFonts w:ascii="Arial" w:hAnsi="Arial" w:eastAsia="Arial" w:cs="Arial"/>
          <w:sz w:val="24"/>
          <w:szCs w:val="24"/>
        </w:rPr>
        <w:t xml:space="preserve">A smaller group of studies addresses thi</w:t>
      </w:r>
      <w:r>
        <w:rPr>
          <w:rFonts w:ascii="Arial" w:hAnsi="Arial" w:eastAsia="Arial" w:cs="Arial"/>
          <w:sz w:val="24"/>
          <w:szCs w:val="24"/>
        </w:rPr>
        <w:t xml:space="preserve">s integration problem directly, but largely at a conceptual level. Mandru and Gunuganti (2025) argue that compliance-driven IAM for critical infrastructure must satisfy multiple external standards simultaneously, including NIST, GDPR, HIPAA and NERC CIP, c</w:t>
      </w:r>
      <w:r>
        <w:rPr>
          <w:rFonts w:ascii="Arial" w:hAnsi="Arial" w:eastAsia="Arial" w:cs="Arial"/>
          <w:sz w:val="24"/>
          <w:szCs w:val="24"/>
        </w:rPr>
        <w:t xml:space="preserve">oncluding that risk-based IAM is needed beyond checklist-style compliance; however, their framework was not empirically evaluated. Farouk et al. (2024) similarly propose a risk management framework mapped to the NIST Cybersecurity Framework for university </w:t>
      </w:r>
      <w:r>
        <w:rPr>
          <w:rFonts w:ascii="Arial" w:hAnsi="Arial" w:eastAsia="Arial" w:cs="Arial"/>
          <w:sz w:val="24"/>
          <w:szCs w:val="24"/>
        </w:rPr>
        <w:t xml:space="preserve">cybercrime risk, and Mironov et al. (2026) map risks from large-language-model-enabled identity tools to the NIST Cybersecurity Framework 2.0, but both remain conceptual proposals rather than tested systems. Taking a qualitative approach, Bhalerao et al. (</w:t>
      </w:r>
      <w:r>
        <w:rPr>
          <w:rFonts w:ascii="Arial" w:hAnsi="Arial" w:eastAsia="Arial" w:cs="Arial"/>
          <w:sz w:val="24"/>
          <w:szCs w:val="24"/>
        </w:rPr>
        <w:t xml:space="preserve">2024) use expert interviews to construct an AI-enabled risk framework aligned to NIST and ISO phases for 5G networks, reporting that artificial intelligence strengthens defensive posture while noting scalability and ethical concerns that were not resolved.</w:t>
      </w:r>
      <w:r/>
    </w:p>
    <w:p w14:paraId="637AE22E">
      <w:pPr>
        <w:pBdr/>
        <w:spacing w:after="120" w:before="120" w:line="360" w:lineRule="auto"/>
        <w:ind/>
        <w:jc w:val="both"/>
        <w:rPr/>
      </w:pPr>
      <w:r>
        <w:rPr>
          <w:rFonts w:ascii="Arial" w:hAnsi="Arial" w:eastAsia="Arial" w:cs="Arial"/>
          <w:sz w:val="24"/>
          <w:szCs w:val="24"/>
        </w:rPr>
        <w:t xml:space="preserve">Other studies attempt to operationalise organisational risk more directly, with </w:t>
      </w:r>
      <w:r>
        <w:rPr>
          <w:rFonts w:ascii="Arial" w:hAnsi="Arial" w:eastAsia="Arial" w:cs="Arial"/>
          <w:sz w:val="24"/>
          <w:szCs w:val="24"/>
        </w:rPr>
        <w:t xml:space="preserve">mixed</w:t>
      </w:r>
      <w:r>
        <w:rPr>
          <w:rFonts w:ascii="Arial" w:hAnsi="Arial" w:eastAsia="Arial" w:cs="Arial"/>
          <w:sz w:val="24"/>
          <w:szCs w:val="24"/>
        </w:rPr>
        <w:t xml:space="preserve"> success. Kamani (2026a) proposes an identity-governance framework for CI/CD pipelines that automates access reviews and ownership mapping, improving auditability, but doesn’t offers quantitative validation. Sun et al. (2026) link dynamic access-control de</w:t>
      </w:r>
      <w:r>
        <w:rPr>
          <w:rFonts w:ascii="Arial" w:hAnsi="Arial" w:eastAsia="Arial" w:cs="Arial"/>
          <w:sz w:val="24"/>
          <w:szCs w:val="24"/>
        </w:rPr>
        <w:t xml:space="preserve">cisions to privacy-compliance strategy within a zero-trust architecture and report 92.8% accuracy, though this depends heavily on log quality and does not produce a risk-register-style output. Nosouhi et al. (2024) argue, in the context of industrial contr</w:t>
      </w:r>
      <w:r>
        <w:rPr>
          <w:rFonts w:ascii="Arial" w:hAnsi="Arial" w:eastAsia="Arial" w:cs="Arial"/>
          <w:sz w:val="24"/>
          <w:szCs w:val="24"/>
        </w:rPr>
        <w:t xml:space="preserve">ol and operational-technology systems, that strong IAM has direct governance value rather than being a purely technical add-on, reinforcing the case for treating access risk as a GRC concern rather than an isolated engineering problem. Tsiodra et al. (2023</w:t>
      </w:r>
      <w:r>
        <w:rPr>
          <w:rFonts w:ascii="Arial" w:hAnsi="Arial" w:eastAsia="Arial" w:cs="Arial"/>
          <w:sz w:val="24"/>
          <w:szCs w:val="24"/>
        </w:rPr>
        <w:t xml:space="preserve">) and Phillips et al. (2024) extend this reasoning into economic and cyber-physical contexts, modelling small-business cybersecurity investment and automating cyber-physical risk assessment respectively, but neither addresses IAM-specific entitlement risk.</w:t>
      </w:r>
      <w:r/>
    </w:p>
    <w:p w14:paraId="661F4492">
      <w:pPr>
        <w:pBdr/>
        <w:spacing w:after="120" w:before="120" w:line="360" w:lineRule="auto"/>
        <w:ind/>
        <w:jc w:val="both"/>
        <w:rPr/>
      </w:pPr>
      <w:r>
        <w:rPr>
          <w:rFonts w:ascii="Arial" w:hAnsi="Arial" w:eastAsia="Arial" w:cs="Arial"/>
          <w:sz w:val="24"/>
          <w:szCs w:val="24"/>
        </w:rPr>
        <w:t xml:space="preserve">Taken together, this body of work confirms that researchers increasingly recognise the need to connect technical access-control findings to formal governance structures. However, t</w:t>
      </w:r>
      <w:r>
        <w:rPr>
          <w:rFonts w:ascii="Arial" w:hAnsi="Arial" w:eastAsia="Arial" w:cs="Arial"/>
          <w:sz w:val="24"/>
          <w:szCs w:val="24"/>
        </w:rPr>
        <w:t xml:space="preserve">he connection is still expressed mainly as a conceptual mapping to a standard's name rather than as a structured, traceable pipeline that produces likelihood, impact, ownership and control-mapped entries suitable for an actual organisational risk register.</w:t>
      </w:r>
      <w:r/>
    </w:p>
    <w:p w14:paraId="78F490FB">
      <w:pPr>
        <w:pBdr/>
        <w:spacing w:after="120" w:before="120" w:line="360" w:lineRule="auto"/>
        <w:ind/>
        <w:jc w:val="both"/>
        <w:rPr/>
      </w:pPr>
      <w:r>
        <w:rPr>
          <w:rFonts w:ascii="Arial" w:hAnsi="Arial" w:eastAsia="Arial" w:cs="Arial"/>
          <w:sz w:val="24"/>
          <w:szCs w:val="24"/>
        </w:rPr>
        <w:t xml:space="preserve">Kamani (2026b) extends this operationalisat</w:t>
      </w:r>
      <w:r>
        <w:rPr>
          <w:rFonts w:ascii="Arial" w:hAnsi="Arial" w:eastAsia="Arial" w:cs="Arial"/>
          <w:sz w:val="24"/>
          <w:szCs w:val="24"/>
        </w:rPr>
        <w:t xml:space="preserve">ion further by proposing an AI-driven model for quantifying risk reduction through automated access certification and segregation-of-duties controls, offering a rare attempt to attach a measurable outcome to a governance-oriented IAM process. However, like</w:t>
      </w:r>
      <w:r>
        <w:rPr>
          <w:rFonts w:ascii="Arial" w:hAnsi="Arial" w:eastAsia="Arial" w:cs="Arial"/>
          <w:sz w:val="24"/>
          <w:szCs w:val="24"/>
        </w:rPr>
        <w:t xml:space="preserve"> the other frameworks discussed in this section, the contribution is presented without empirical deployment data, and it does not specify how its output would be entered into, prioritised within, or tracked through an existing organisational risk register.</w:t>
      </w:r>
      <w:r/>
    </w:p>
    <w:p w14:paraId="26690B71">
      <w:pPr>
        <w:pStyle w:val="857"/>
        <w:pBdr/>
        <w:spacing w:after="120" w:before="120" w:line="360" w:lineRule="auto"/>
        <w:ind/>
        <w:jc w:val="both"/>
        <w:rPr>
          <w:bCs/>
          <w:i/>
        </w:rPr>
      </w:pPr>
      <w:r>
        <w:rPr>
          <w:rFonts w:ascii="Arial" w:hAnsi="Arial" w:eastAsia="Arial" w:cs="Arial"/>
          <w:b/>
          <w:i/>
          <w:iCs/>
          <w:color w:val="000000"/>
          <w:sz w:val="24"/>
        </w:rPr>
        <w:t xml:space="preserve">2.5 Research Gap</w:t>
      </w:r>
      <w:r>
        <w:rPr>
          <w:i/>
          <w:iCs/>
        </w:rPr>
      </w:r>
      <w:r>
        <w:rPr>
          <w:bCs/>
          <w:i/>
        </w:rPr>
      </w:r>
    </w:p>
    <w:p w14:paraId="7C57C245">
      <w:pPr>
        <w:pBdr/>
        <w:spacing w:after="120" w:before="120" w:line="360" w:lineRule="auto"/>
        <w:ind/>
        <w:jc w:val="both"/>
        <w:rPr/>
      </w:pPr>
      <w:r>
        <w:rPr>
          <w:rFonts w:ascii="Arial" w:hAnsi="Arial" w:eastAsia="Arial" w:cs="Arial"/>
          <w:color w:val="000000"/>
          <w:sz w:val="24"/>
        </w:rPr>
        <w:t xml:space="preserve">The evidence in Sections 2.2 to 2.4 shows that established standards, including ISO/IEC 27005, already provide general guidance for assessing likelihood, impact, risk ownership and control mapping; the gap identifi</w:t>
      </w:r>
      <w:r>
        <w:rPr>
          <w:rFonts w:ascii="Arial" w:hAnsi="Arial" w:eastAsia="Arial" w:cs="Arial"/>
          <w:color w:val="000000"/>
          <w:sz w:val="24"/>
        </w:rPr>
        <w:t xml:space="preserve">ed in this review is therefore not the absence of risk-register guidance itself. Rather, the reviewed IAM and access-control literature does not yet demonstrate a sufficiently traceable, IAM-specific and tested implementation that applies this guidance to </w:t>
      </w:r>
      <w:r>
        <w:rPr>
          <w:rFonts w:ascii="Arial" w:hAnsi="Arial" w:eastAsia="Arial" w:cs="Arial"/>
          <w:color w:val="000000"/>
          <w:sz w:val="24"/>
        </w:rPr>
        <w:t xml:space="preserve">convert technical access-control findings, such as excessive privileges, privilege creep and abnormal access, into structured and prioritised organisational risk-register entries. Mandru and Gunuganti (2025) and Farouk et al. (2024), for example, both prop</w:t>
      </w:r>
      <w:r>
        <w:rPr>
          <w:rFonts w:ascii="Arial" w:hAnsi="Arial" w:eastAsia="Arial" w:cs="Arial"/>
          <w:color w:val="000000"/>
          <w:sz w:val="24"/>
        </w:rPr>
        <w:t xml:space="preserve">ose frameworks mapped to recognised standards, but neither reports a working, testable mechanism that carries a specific technical finding through likelihood, impact and ownership to a traceable risk-register entry. This gap persists despite the technical </w:t>
      </w:r>
      <w:r>
        <w:rPr>
          <w:rFonts w:ascii="Arial" w:hAnsi="Arial" w:eastAsia="Arial" w:cs="Arial"/>
          <w:color w:val="000000"/>
          <w:sz w:val="24"/>
        </w:rPr>
        <w:t xml:space="preserve">maturity demonstrated in Sections 2.2 and 2.3, indicating that the barrier is not a lack of detection capability or a lack of risk-management standards, but the absence of a sufficiently traceable, IAM-specific and tested implementation connecting the two.</w:t>
      </w:r>
      <w:r/>
    </w:p>
    <w:p w14:paraId="0701F7BA">
      <w:pPr>
        <w:pStyle w:val="857"/>
        <w:pBdr/>
        <w:spacing w:after="120" w:before="120" w:line="360" w:lineRule="auto"/>
        <w:ind/>
        <w:jc w:val="both"/>
        <w:rPr>
          <w:bCs/>
          <w:i/>
        </w:rPr>
      </w:pPr>
      <w:r>
        <w:rPr>
          <w:rFonts w:ascii="Arial" w:hAnsi="Arial" w:eastAsia="Arial" w:cs="Arial"/>
          <w:b/>
          <w:i/>
          <w:iCs/>
          <w:color w:val="000000"/>
          <w:sz w:val="24"/>
        </w:rPr>
        <w:t xml:space="preserve">2.6 Summary</w:t>
      </w:r>
      <w:r>
        <w:rPr>
          <w:i/>
          <w:iCs/>
        </w:rPr>
      </w:r>
      <w:r>
        <w:rPr>
          <w:bCs/>
          <w:i/>
        </w:rPr>
      </w:r>
    </w:p>
    <w:p w14:paraId="189A8EC7">
      <w:pPr>
        <w:pBdr/>
        <w:spacing w:after="120" w:before="120" w:line="360" w:lineRule="auto"/>
        <w:ind/>
        <w:jc w:val="both"/>
        <w:rPr/>
      </w:pPr>
      <w:r>
        <w:rPr>
          <w:rFonts w:ascii="Arial" w:hAnsi="Arial" w:eastAsia="Arial" w:cs="Arial"/>
          <w:color w:val="000000"/>
          <w:sz w:val="24"/>
        </w:rPr>
        <w:t xml:space="preserve">This chapter has synthesised current IAM and access-control risk literature across identity governance, adaptive authentication, Zero Trust, decentraliz</w:t>
      </w:r>
      <w:r>
        <w:rPr>
          <w:rFonts w:ascii="Arial" w:hAnsi="Arial" w:eastAsia="Arial" w:cs="Arial"/>
          <w:color w:val="000000"/>
          <w:sz w:val="24"/>
        </w:rPr>
        <w:t xml:space="preserve">ed identity and GRC-oriented frameworks, and has shown that although general risk-register guidance already exists in standards such as ISO/IEC 27005, the reviewed literature does not yet demonstrate a sufficiently traceable, IAM-specific and tested implem</w:t>
      </w:r>
      <w:r>
        <w:rPr>
          <w:rFonts w:ascii="Arial" w:hAnsi="Arial" w:eastAsia="Arial" w:cs="Arial"/>
          <w:color w:val="000000"/>
          <w:sz w:val="24"/>
        </w:rPr>
        <w:t xml:space="preserve">entation that applies this guidance to technical access-control findings. This gap directly motivates the research aim of this study: to develop a prototype Identity and Access Management–Governance, Risk, and Compliance (IAM–GRC) risk mapping system that </w:t>
      </w:r>
      <w:r>
        <w:rPr>
          <w:rFonts w:ascii="Arial" w:hAnsi="Arial" w:eastAsia="Arial" w:cs="Arial"/>
          <w:color w:val="000000"/>
          <w:sz w:val="24"/>
        </w:rPr>
        <w:t xml:space="preserve">converts technical access-control findings into structured and prioritised organisational risk-register entries, supported by the ISO/IEC 27005 risk-assessment standard and ISO/IEC 27001 and ISO/IEC 27002 control mapping described in the following chapter.</w:t>
      </w:r>
      <w:r>
        <w:rPr>
          <w:rFonts w:ascii="Arial" w:hAnsi="Arial" w:cs="Arial"/>
          <w:b/>
          <w:bCs/>
          <w:sz w:val="32"/>
          <w:szCs w:val="32"/>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Light"/>
    <w:basedOn w:val="8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1"/>
    <w:basedOn w:val="8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2"/>
    <w:basedOn w:val="8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3"/>
    <w:basedOn w:val="8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4"/>
    <w:basedOn w:val="8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5"/>
    <w:basedOn w:val="8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w:basedOn w:val="8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1"/>
    <w:basedOn w:val="8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2"/>
    <w:basedOn w:val="8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3"/>
    <w:basedOn w:val="8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4"/>
    <w:basedOn w:val="8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5"/>
    <w:basedOn w:val="8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6"/>
    <w:basedOn w:val="8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w:basedOn w:val="8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1"/>
    <w:basedOn w:val="8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2"/>
    <w:basedOn w:val="8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3"/>
    <w:basedOn w:val="8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4"/>
    <w:basedOn w:val="8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5"/>
    <w:basedOn w:val="8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6"/>
    <w:basedOn w:val="8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w:basedOn w:val="8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1"/>
    <w:basedOn w:val="8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2"/>
    <w:basedOn w:val="8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3"/>
    <w:basedOn w:val="8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4"/>
    <w:basedOn w:val="8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5"/>
    <w:basedOn w:val="8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6"/>
    <w:basedOn w:val="8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w:basedOn w:val="8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1"/>
    <w:basedOn w:val="8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2"/>
    <w:basedOn w:val="8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3"/>
    <w:basedOn w:val="8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4"/>
    <w:basedOn w:val="8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5"/>
    <w:basedOn w:val="8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6"/>
    <w:basedOn w:val="8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w:basedOn w:val="8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1"/>
    <w:basedOn w:val="8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2"/>
    <w:basedOn w:val="8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3"/>
    <w:basedOn w:val="8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4"/>
    <w:basedOn w:val="8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5"/>
    <w:basedOn w:val="8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6"/>
    <w:basedOn w:val="8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6 Colorful"/>
    <w:basedOn w:val="8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3">
    <w:name w:val="Grid Table 6 Colorful - Accent 1"/>
    <w:basedOn w:val="8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4">
    <w:name w:val="Grid Table 6 Colorful - Accent 2"/>
    <w:basedOn w:val="8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5">
    <w:name w:val="Grid Table 6 Colorful - Accent 3"/>
    <w:basedOn w:val="8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6">
    <w:name w:val="Grid Table 6 Colorful - Accent 4"/>
    <w:basedOn w:val="8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7">
    <w:name w:val="Grid Table 6 Colorful - Accent 5"/>
    <w:basedOn w:val="8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6 Colorful - Accent 6"/>
    <w:basedOn w:val="8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7 Colorful"/>
    <w:basedOn w:val="8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1"/>
    <w:basedOn w:val="8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w:basedOn w:val="8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1"/>
    <w:basedOn w:val="8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2"/>
    <w:basedOn w:val="8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3"/>
    <w:basedOn w:val="8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4"/>
    <w:basedOn w:val="8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5"/>
    <w:basedOn w:val="8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6"/>
    <w:basedOn w:val="8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w:basedOn w:val="8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w:basedOn w:val="8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1"/>
    <w:basedOn w:val="8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2"/>
    <w:basedOn w:val="8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3"/>
    <w:basedOn w:val="8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4"/>
    <w:basedOn w:val="8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5"/>
    <w:basedOn w:val="8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6"/>
    <w:basedOn w:val="8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w:basedOn w:val="8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w:basedOn w:val="8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1"/>
    <w:basedOn w:val="8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2"/>
    <w:basedOn w:val="8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3"/>
    <w:basedOn w:val="8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4"/>
    <w:basedOn w:val="8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5"/>
    <w:basedOn w:val="8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6"/>
    <w:basedOn w:val="8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6 Colorful"/>
    <w:basedOn w:val="8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1"/>
    <w:basedOn w:val="8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w:basedOn w:val="8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9">
    <w:name w:val="List Table 7 Colorful - Accent 1"/>
    <w:basedOn w:val="8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0">
    <w:name w:val="List Table 7 Colorful - Accent 2"/>
    <w:basedOn w:val="8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1">
    <w:name w:val="List Table 7 Colorful - Accent 3"/>
    <w:basedOn w:val="8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2">
    <w:name w:val="List Table 7 Colorful - Accent 4"/>
    <w:basedOn w:val="8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3">
    <w:name w:val="List Table 7 Colorful - Accent 5"/>
    <w:basedOn w:val="8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4">
    <w:name w:val="List Table 7 Colorful - Accent 6"/>
    <w:basedOn w:val="8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5">
    <w:name w:val="Lined - Accent"/>
    <w:basedOn w:val="8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1"/>
    <w:basedOn w:val="8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2"/>
    <w:basedOn w:val="8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3"/>
    <w:basedOn w:val="8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4"/>
    <w:basedOn w:val="8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5"/>
    <w:basedOn w:val="8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6"/>
    <w:basedOn w:val="8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w:basedOn w:val="8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1"/>
    <w:basedOn w:val="8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2"/>
    <w:basedOn w:val="8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3"/>
    <w:basedOn w:val="8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4"/>
    <w:basedOn w:val="8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5"/>
    <w:basedOn w:val="8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6"/>
    <w:basedOn w:val="8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w:basedOn w:val="8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1"/>
    <w:basedOn w:val="8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2"/>
    <w:basedOn w:val="8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3"/>
    <w:basedOn w:val="8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4"/>
    <w:basedOn w:val="8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5"/>
    <w:basedOn w:val="8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6"/>
    <w:basedOn w:val="8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No Spacing"/>
    <w:basedOn w:val="855"/>
    <w:uiPriority w:val="1"/>
    <w:qFormat/>
    <w:pPr>
      <w:pBdr/>
      <w:spacing w:after="0" w:line="240" w:lineRule="auto"/>
      <w:ind/>
    </w:pPr>
  </w:style>
  <w:style w:type="character" w:styleId="827">
    <w:name w:val="Subtle Emphasis"/>
    <w:basedOn w:val="865"/>
    <w:uiPriority w:val="19"/>
    <w:qFormat/>
    <w:pPr>
      <w:pBdr/>
      <w:spacing/>
      <w:ind/>
    </w:pPr>
    <w:rPr>
      <w:i/>
      <w:iCs/>
      <w:color w:val="404040" w:themeColor="text1" w:themeTint="BF"/>
    </w:rPr>
  </w:style>
  <w:style w:type="character" w:styleId="828">
    <w:name w:val="Emphasis"/>
    <w:basedOn w:val="865"/>
    <w:uiPriority w:val="20"/>
    <w:qFormat/>
    <w:pPr>
      <w:pBdr/>
      <w:spacing/>
      <w:ind/>
    </w:pPr>
    <w:rPr>
      <w:i/>
      <w:iCs/>
    </w:rPr>
  </w:style>
  <w:style w:type="character" w:styleId="829">
    <w:name w:val="Strong"/>
    <w:basedOn w:val="865"/>
    <w:uiPriority w:val="22"/>
    <w:qFormat/>
    <w:pPr>
      <w:pBdr/>
      <w:spacing/>
      <w:ind/>
    </w:pPr>
    <w:rPr>
      <w:b/>
      <w:bCs/>
    </w:rPr>
  </w:style>
  <w:style w:type="character" w:styleId="830">
    <w:name w:val="Subtle Reference"/>
    <w:basedOn w:val="865"/>
    <w:uiPriority w:val="31"/>
    <w:qFormat/>
    <w:pPr>
      <w:pBdr/>
      <w:spacing/>
      <w:ind/>
    </w:pPr>
    <w:rPr>
      <w:smallCaps/>
      <w:color w:val="5a5a5a" w:themeColor="text1" w:themeTint="A5"/>
    </w:rPr>
  </w:style>
  <w:style w:type="character" w:styleId="831">
    <w:name w:val="Book Title"/>
    <w:basedOn w:val="865"/>
    <w:uiPriority w:val="33"/>
    <w:qFormat/>
    <w:pPr>
      <w:pBdr/>
      <w:spacing/>
      <w:ind/>
    </w:pPr>
    <w:rPr>
      <w:b/>
      <w:bCs/>
      <w:i/>
      <w:iCs/>
      <w:spacing w:val="5"/>
    </w:rPr>
  </w:style>
  <w:style w:type="paragraph" w:styleId="832">
    <w:name w:val="Header"/>
    <w:basedOn w:val="855"/>
    <w:link w:val="833"/>
    <w:uiPriority w:val="99"/>
    <w:unhideWhenUsed/>
    <w:pPr>
      <w:pBdr/>
      <w:tabs>
        <w:tab w:val="center" w:leader="none" w:pos="4844"/>
        <w:tab w:val="right" w:leader="none" w:pos="9689"/>
      </w:tabs>
      <w:spacing w:after="0" w:line="240" w:lineRule="auto"/>
      <w:ind/>
    </w:pPr>
  </w:style>
  <w:style w:type="character" w:styleId="833">
    <w:name w:val="Header Char"/>
    <w:basedOn w:val="865"/>
    <w:link w:val="832"/>
    <w:uiPriority w:val="99"/>
    <w:pPr>
      <w:pBdr/>
      <w:spacing/>
      <w:ind/>
    </w:pPr>
  </w:style>
  <w:style w:type="paragraph" w:styleId="834">
    <w:name w:val="Footer"/>
    <w:basedOn w:val="855"/>
    <w:link w:val="835"/>
    <w:uiPriority w:val="99"/>
    <w:unhideWhenUsed/>
    <w:pPr>
      <w:pBdr/>
      <w:tabs>
        <w:tab w:val="center" w:leader="none" w:pos="4844"/>
        <w:tab w:val="right" w:leader="none" w:pos="9689"/>
      </w:tabs>
      <w:spacing w:after="0" w:line="240" w:lineRule="auto"/>
      <w:ind/>
    </w:pPr>
  </w:style>
  <w:style w:type="character" w:styleId="835">
    <w:name w:val="Footer Char"/>
    <w:basedOn w:val="865"/>
    <w:link w:val="834"/>
    <w:uiPriority w:val="99"/>
    <w:pPr>
      <w:pBdr/>
      <w:spacing/>
      <w:ind/>
    </w:pPr>
  </w:style>
  <w:style w:type="paragraph" w:styleId="836">
    <w:name w:val="footnote text"/>
    <w:basedOn w:val="855"/>
    <w:link w:val="837"/>
    <w:uiPriority w:val="99"/>
    <w:semiHidden/>
    <w:unhideWhenUsed/>
    <w:pPr>
      <w:pBdr/>
      <w:spacing w:after="0" w:line="240" w:lineRule="auto"/>
      <w:ind/>
    </w:pPr>
    <w:rPr>
      <w:sz w:val="20"/>
      <w:szCs w:val="20"/>
    </w:rPr>
  </w:style>
  <w:style w:type="character" w:styleId="837">
    <w:name w:val="Footnote Text Char"/>
    <w:basedOn w:val="865"/>
    <w:link w:val="836"/>
    <w:uiPriority w:val="99"/>
    <w:semiHidden/>
    <w:pPr>
      <w:pBdr/>
      <w:spacing/>
      <w:ind/>
    </w:pPr>
    <w:rPr>
      <w:sz w:val="20"/>
      <w:szCs w:val="20"/>
    </w:rPr>
  </w:style>
  <w:style w:type="character" w:styleId="838">
    <w:name w:val="footnote reference"/>
    <w:basedOn w:val="865"/>
    <w:uiPriority w:val="99"/>
    <w:semiHidden/>
    <w:unhideWhenUsed/>
    <w:pPr>
      <w:pBdr/>
      <w:spacing/>
      <w:ind/>
    </w:pPr>
    <w:rPr>
      <w:vertAlign w:val="superscript"/>
    </w:rPr>
  </w:style>
  <w:style w:type="paragraph" w:styleId="839">
    <w:name w:val="endnote text"/>
    <w:basedOn w:val="855"/>
    <w:link w:val="840"/>
    <w:uiPriority w:val="99"/>
    <w:semiHidden/>
    <w:unhideWhenUsed/>
    <w:pPr>
      <w:pBdr/>
      <w:spacing w:after="0" w:line="240" w:lineRule="auto"/>
      <w:ind/>
    </w:pPr>
    <w:rPr>
      <w:sz w:val="20"/>
      <w:szCs w:val="20"/>
    </w:rPr>
  </w:style>
  <w:style w:type="character" w:styleId="840">
    <w:name w:val="Endnote Text Char"/>
    <w:basedOn w:val="865"/>
    <w:link w:val="839"/>
    <w:uiPriority w:val="99"/>
    <w:semiHidden/>
    <w:pPr>
      <w:pBdr/>
      <w:spacing/>
      <w:ind/>
    </w:pPr>
    <w:rPr>
      <w:sz w:val="20"/>
      <w:szCs w:val="20"/>
    </w:rPr>
  </w:style>
  <w:style w:type="character" w:styleId="841">
    <w:name w:val="endnote reference"/>
    <w:basedOn w:val="865"/>
    <w:uiPriority w:val="99"/>
    <w:semiHidden/>
    <w:unhideWhenUsed/>
    <w:pPr>
      <w:pBdr/>
      <w:spacing/>
      <w:ind/>
    </w:pPr>
    <w:rPr>
      <w:vertAlign w:val="superscript"/>
    </w:rPr>
  </w:style>
  <w:style w:type="character" w:styleId="842">
    <w:name w:val="FollowedHyperlink"/>
    <w:basedOn w:val="865"/>
    <w:uiPriority w:val="99"/>
    <w:semiHidden/>
    <w:unhideWhenUsed/>
    <w:pPr>
      <w:pBdr/>
      <w:spacing/>
      <w:ind/>
    </w:pPr>
    <w:rPr>
      <w:color w:val="954f72" w:themeColor="followedHyperlink"/>
      <w:u w:val="single"/>
    </w:rPr>
  </w:style>
  <w:style w:type="paragraph" w:styleId="843">
    <w:name w:val="toc 1"/>
    <w:basedOn w:val="855"/>
    <w:next w:val="855"/>
    <w:uiPriority w:val="39"/>
    <w:unhideWhenUsed/>
    <w:pPr>
      <w:pBdr/>
      <w:spacing w:after="100"/>
      <w:ind/>
    </w:pPr>
  </w:style>
  <w:style w:type="paragraph" w:styleId="844">
    <w:name w:val="toc 2"/>
    <w:basedOn w:val="855"/>
    <w:next w:val="855"/>
    <w:uiPriority w:val="39"/>
    <w:unhideWhenUsed/>
    <w:pPr>
      <w:pBdr/>
      <w:spacing w:after="100"/>
      <w:ind w:left="220"/>
    </w:pPr>
  </w:style>
  <w:style w:type="paragraph" w:styleId="845">
    <w:name w:val="toc 3"/>
    <w:basedOn w:val="855"/>
    <w:next w:val="855"/>
    <w:uiPriority w:val="39"/>
    <w:unhideWhenUsed/>
    <w:pPr>
      <w:pBdr/>
      <w:spacing w:after="100"/>
      <w:ind w:left="440"/>
    </w:pPr>
  </w:style>
  <w:style w:type="paragraph" w:styleId="846">
    <w:name w:val="toc 4"/>
    <w:basedOn w:val="855"/>
    <w:next w:val="855"/>
    <w:uiPriority w:val="39"/>
    <w:unhideWhenUsed/>
    <w:pPr>
      <w:pBdr/>
      <w:spacing w:after="100"/>
      <w:ind w:left="660"/>
    </w:pPr>
  </w:style>
  <w:style w:type="paragraph" w:styleId="847">
    <w:name w:val="toc 5"/>
    <w:basedOn w:val="855"/>
    <w:next w:val="855"/>
    <w:uiPriority w:val="39"/>
    <w:unhideWhenUsed/>
    <w:pPr>
      <w:pBdr/>
      <w:spacing w:after="100"/>
      <w:ind w:left="880"/>
    </w:pPr>
  </w:style>
  <w:style w:type="paragraph" w:styleId="848">
    <w:name w:val="toc 6"/>
    <w:basedOn w:val="855"/>
    <w:next w:val="855"/>
    <w:uiPriority w:val="39"/>
    <w:unhideWhenUsed/>
    <w:pPr>
      <w:pBdr/>
      <w:spacing w:after="100"/>
      <w:ind w:left="1100"/>
    </w:pPr>
  </w:style>
  <w:style w:type="paragraph" w:styleId="849">
    <w:name w:val="toc 7"/>
    <w:basedOn w:val="855"/>
    <w:next w:val="855"/>
    <w:uiPriority w:val="39"/>
    <w:unhideWhenUsed/>
    <w:pPr>
      <w:pBdr/>
      <w:spacing w:after="100"/>
      <w:ind w:left="1320"/>
    </w:pPr>
  </w:style>
  <w:style w:type="paragraph" w:styleId="850">
    <w:name w:val="toc 8"/>
    <w:basedOn w:val="855"/>
    <w:next w:val="855"/>
    <w:uiPriority w:val="39"/>
    <w:unhideWhenUsed/>
    <w:pPr>
      <w:pBdr/>
      <w:spacing w:after="100"/>
      <w:ind w:left="1540"/>
    </w:pPr>
  </w:style>
  <w:style w:type="paragraph" w:styleId="851">
    <w:name w:val="toc 9"/>
    <w:basedOn w:val="855"/>
    <w:next w:val="855"/>
    <w:uiPriority w:val="39"/>
    <w:unhideWhenUsed/>
    <w:pPr>
      <w:pBdr/>
      <w:spacing w:after="100"/>
      <w:ind w:left="1760"/>
    </w:pPr>
  </w:style>
  <w:style w:type="character" w:styleId="852">
    <w:name w:val="Placeholder Text"/>
    <w:basedOn w:val="865"/>
    <w:uiPriority w:val="99"/>
    <w:semiHidden/>
    <w:pPr>
      <w:pBdr/>
      <w:spacing/>
      <w:ind/>
    </w:pPr>
    <w:rPr>
      <w:color w:val="666666"/>
    </w:rPr>
  </w:style>
  <w:style w:type="paragraph" w:styleId="853">
    <w:name w:val="TOC Heading"/>
    <w:uiPriority w:val="39"/>
    <w:unhideWhenUsed/>
    <w:pPr>
      <w:pBdr/>
      <w:spacing/>
      <w:ind/>
    </w:pPr>
  </w:style>
  <w:style w:type="paragraph" w:styleId="854">
    <w:name w:val="table of figures"/>
    <w:basedOn w:val="855"/>
    <w:next w:val="855"/>
    <w:uiPriority w:val="99"/>
    <w:unhideWhenUsed/>
    <w:pPr>
      <w:pBdr/>
      <w:spacing w:after="0" w:afterAutospacing="0"/>
      <w:ind/>
    </w:pPr>
  </w:style>
  <w:style w:type="paragraph" w:styleId="855" w:default="1">
    <w:name w:val="Normal"/>
    <w:qFormat/>
    <w:pPr>
      <w:pBdr/>
      <w:spacing/>
      <w:ind/>
    </w:pPr>
  </w:style>
  <w:style w:type="paragraph" w:styleId="856">
    <w:name w:val="Heading 1"/>
    <w:basedOn w:val="855"/>
    <w:next w:val="855"/>
    <w:link w:val="86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7">
    <w:name w:val="Heading 2"/>
    <w:basedOn w:val="855"/>
    <w:next w:val="855"/>
    <w:link w:val="86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8">
    <w:name w:val="Heading 3"/>
    <w:basedOn w:val="855"/>
    <w:next w:val="855"/>
    <w:link w:val="87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59">
    <w:name w:val="Heading 4"/>
    <w:basedOn w:val="855"/>
    <w:next w:val="855"/>
    <w:link w:val="87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0">
    <w:name w:val="Heading 5"/>
    <w:basedOn w:val="855"/>
    <w:next w:val="855"/>
    <w:link w:val="87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1">
    <w:name w:val="Heading 6"/>
    <w:basedOn w:val="855"/>
    <w:next w:val="855"/>
    <w:link w:val="87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2">
    <w:name w:val="Heading 7"/>
    <w:basedOn w:val="855"/>
    <w:next w:val="855"/>
    <w:link w:val="87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3">
    <w:name w:val="Heading 8"/>
    <w:basedOn w:val="855"/>
    <w:next w:val="855"/>
    <w:link w:val="87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4">
    <w:name w:val="Heading 9"/>
    <w:basedOn w:val="855"/>
    <w:next w:val="855"/>
    <w:link w:val="87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5" w:default="1">
    <w:name w:val="Default Paragraph Font"/>
    <w:uiPriority w:val="1"/>
    <w:semiHidden/>
    <w:unhideWhenUsed/>
    <w:pPr>
      <w:pBdr/>
      <w:spacing/>
      <w:ind/>
    </w:pPr>
  </w:style>
  <w:style w:type="table" w:styleId="8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7" w:default="1">
    <w:name w:val="No List"/>
    <w:uiPriority w:val="99"/>
    <w:semiHidden/>
    <w:unhideWhenUsed/>
    <w:pPr>
      <w:pBdr/>
      <w:spacing/>
      <w:ind/>
    </w:pPr>
  </w:style>
  <w:style w:type="character" w:styleId="868" w:customStyle="1">
    <w:name w:val="Heading 1 Char"/>
    <w:basedOn w:val="865"/>
    <w:link w:val="856"/>
    <w:uiPriority w:val="9"/>
    <w:pPr>
      <w:pBdr/>
      <w:spacing/>
      <w:ind/>
    </w:pPr>
    <w:rPr>
      <w:rFonts w:asciiTheme="majorHAnsi" w:hAnsiTheme="majorHAnsi" w:eastAsiaTheme="majorEastAsia" w:cstheme="majorBidi"/>
      <w:color w:val="0f4761" w:themeColor="accent1" w:themeShade="BF"/>
      <w:sz w:val="40"/>
      <w:szCs w:val="40"/>
    </w:rPr>
  </w:style>
  <w:style w:type="character" w:styleId="869" w:customStyle="1">
    <w:name w:val="Heading 2 Char"/>
    <w:basedOn w:val="865"/>
    <w:link w:val="857"/>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70" w:customStyle="1">
    <w:name w:val="Heading 3 Char"/>
    <w:basedOn w:val="865"/>
    <w:link w:val="858"/>
    <w:uiPriority w:val="9"/>
    <w:semiHidden/>
    <w:pPr>
      <w:pBdr/>
      <w:spacing/>
      <w:ind/>
    </w:pPr>
    <w:rPr>
      <w:rFonts w:eastAsiaTheme="majorEastAsia" w:cstheme="majorBidi"/>
      <w:color w:val="0f4761" w:themeColor="accent1" w:themeShade="BF"/>
      <w:sz w:val="28"/>
      <w:szCs w:val="28"/>
    </w:rPr>
  </w:style>
  <w:style w:type="character" w:styleId="871" w:customStyle="1">
    <w:name w:val="Heading 4 Char"/>
    <w:basedOn w:val="865"/>
    <w:link w:val="859"/>
    <w:uiPriority w:val="9"/>
    <w:semiHidden/>
    <w:pPr>
      <w:pBdr/>
      <w:spacing/>
      <w:ind/>
    </w:pPr>
    <w:rPr>
      <w:rFonts w:eastAsiaTheme="majorEastAsia" w:cstheme="majorBidi"/>
      <w:i/>
      <w:iCs/>
      <w:color w:val="0f4761" w:themeColor="accent1" w:themeShade="BF"/>
    </w:rPr>
  </w:style>
  <w:style w:type="character" w:styleId="872" w:customStyle="1">
    <w:name w:val="Heading 5 Char"/>
    <w:basedOn w:val="865"/>
    <w:link w:val="860"/>
    <w:uiPriority w:val="9"/>
    <w:semiHidden/>
    <w:pPr>
      <w:pBdr/>
      <w:spacing/>
      <w:ind/>
    </w:pPr>
    <w:rPr>
      <w:rFonts w:eastAsiaTheme="majorEastAsia" w:cstheme="majorBidi"/>
      <w:color w:val="0f4761" w:themeColor="accent1" w:themeShade="BF"/>
    </w:rPr>
  </w:style>
  <w:style w:type="character" w:styleId="873" w:customStyle="1">
    <w:name w:val="Heading 6 Char"/>
    <w:basedOn w:val="865"/>
    <w:link w:val="861"/>
    <w:uiPriority w:val="9"/>
    <w:semiHidden/>
    <w:pPr>
      <w:pBdr/>
      <w:spacing/>
      <w:ind/>
    </w:pPr>
    <w:rPr>
      <w:rFonts w:eastAsiaTheme="majorEastAsia" w:cstheme="majorBidi"/>
      <w:i/>
      <w:iCs/>
      <w:color w:val="595959" w:themeColor="text1" w:themeTint="A6"/>
    </w:rPr>
  </w:style>
  <w:style w:type="character" w:styleId="874" w:customStyle="1">
    <w:name w:val="Heading 7 Char"/>
    <w:basedOn w:val="865"/>
    <w:link w:val="862"/>
    <w:uiPriority w:val="9"/>
    <w:semiHidden/>
    <w:pPr>
      <w:pBdr/>
      <w:spacing/>
      <w:ind/>
    </w:pPr>
    <w:rPr>
      <w:rFonts w:eastAsiaTheme="majorEastAsia" w:cstheme="majorBidi"/>
      <w:color w:val="595959" w:themeColor="text1" w:themeTint="A6"/>
    </w:rPr>
  </w:style>
  <w:style w:type="character" w:styleId="875" w:customStyle="1">
    <w:name w:val="Heading 8 Char"/>
    <w:basedOn w:val="865"/>
    <w:link w:val="863"/>
    <w:uiPriority w:val="9"/>
    <w:semiHidden/>
    <w:pPr>
      <w:pBdr/>
      <w:spacing/>
      <w:ind/>
    </w:pPr>
    <w:rPr>
      <w:rFonts w:eastAsiaTheme="majorEastAsia" w:cstheme="majorBidi"/>
      <w:i/>
      <w:iCs/>
      <w:color w:val="272727" w:themeColor="text1" w:themeTint="D8"/>
    </w:rPr>
  </w:style>
  <w:style w:type="character" w:styleId="876" w:customStyle="1">
    <w:name w:val="Heading 9 Char"/>
    <w:basedOn w:val="865"/>
    <w:link w:val="864"/>
    <w:uiPriority w:val="9"/>
    <w:semiHidden/>
    <w:pPr>
      <w:pBdr/>
      <w:spacing/>
      <w:ind/>
    </w:pPr>
    <w:rPr>
      <w:rFonts w:eastAsiaTheme="majorEastAsia" w:cstheme="majorBidi"/>
      <w:color w:val="272727" w:themeColor="text1" w:themeTint="D8"/>
    </w:rPr>
  </w:style>
  <w:style w:type="paragraph" w:styleId="877">
    <w:name w:val="Title"/>
    <w:basedOn w:val="855"/>
    <w:next w:val="855"/>
    <w:link w:val="87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78" w:customStyle="1">
    <w:name w:val="Title Char"/>
    <w:basedOn w:val="865"/>
    <w:link w:val="877"/>
    <w:uiPriority w:val="10"/>
    <w:pPr>
      <w:pBdr/>
      <w:spacing/>
      <w:ind/>
    </w:pPr>
    <w:rPr>
      <w:rFonts w:asciiTheme="majorHAnsi" w:hAnsiTheme="majorHAnsi" w:eastAsiaTheme="majorEastAsia" w:cstheme="majorBidi"/>
      <w:spacing w:val="-10"/>
      <w:sz w:val="56"/>
      <w:szCs w:val="56"/>
    </w:rPr>
  </w:style>
  <w:style w:type="paragraph" w:styleId="879">
    <w:name w:val="Subtitle"/>
    <w:basedOn w:val="855"/>
    <w:next w:val="855"/>
    <w:link w:val="880"/>
    <w:uiPriority w:val="11"/>
    <w:qFormat/>
    <w:pPr>
      <w:numPr>
        <w:ilvl w:val="1"/>
      </w:numPr>
      <w:pBdr/>
      <w:spacing/>
      <w:ind/>
    </w:pPr>
    <w:rPr>
      <w:rFonts w:eastAsiaTheme="majorEastAsia" w:cstheme="majorBidi"/>
      <w:color w:val="595959" w:themeColor="text1" w:themeTint="A6"/>
      <w:spacing w:val="15"/>
      <w:sz w:val="28"/>
      <w:szCs w:val="28"/>
    </w:rPr>
  </w:style>
  <w:style w:type="character" w:styleId="880" w:customStyle="1">
    <w:name w:val="Subtitle Char"/>
    <w:basedOn w:val="865"/>
    <w:link w:val="879"/>
    <w:uiPriority w:val="11"/>
    <w:pPr>
      <w:pBdr/>
      <w:spacing/>
      <w:ind/>
    </w:pPr>
    <w:rPr>
      <w:rFonts w:eastAsiaTheme="majorEastAsia" w:cstheme="majorBidi"/>
      <w:color w:val="595959" w:themeColor="text1" w:themeTint="A6"/>
      <w:spacing w:val="15"/>
      <w:sz w:val="28"/>
      <w:szCs w:val="28"/>
    </w:rPr>
  </w:style>
  <w:style w:type="paragraph" w:styleId="881">
    <w:name w:val="Quote"/>
    <w:basedOn w:val="855"/>
    <w:next w:val="855"/>
    <w:link w:val="882"/>
    <w:uiPriority w:val="29"/>
    <w:qFormat/>
    <w:pPr>
      <w:pBdr/>
      <w:spacing w:before="160"/>
      <w:ind/>
      <w:jc w:val="center"/>
    </w:pPr>
    <w:rPr>
      <w:i/>
      <w:iCs/>
      <w:color w:val="404040" w:themeColor="text1" w:themeTint="BF"/>
    </w:rPr>
  </w:style>
  <w:style w:type="character" w:styleId="882" w:customStyle="1">
    <w:name w:val="Quote Char"/>
    <w:basedOn w:val="865"/>
    <w:link w:val="881"/>
    <w:uiPriority w:val="29"/>
    <w:pPr>
      <w:pBdr/>
      <w:spacing/>
      <w:ind/>
    </w:pPr>
    <w:rPr>
      <w:i/>
      <w:iCs/>
      <w:color w:val="404040" w:themeColor="text1" w:themeTint="BF"/>
    </w:rPr>
  </w:style>
  <w:style w:type="paragraph" w:styleId="883">
    <w:name w:val="List Paragraph"/>
    <w:basedOn w:val="855"/>
    <w:uiPriority w:val="34"/>
    <w:qFormat/>
    <w:pPr>
      <w:pBdr/>
      <w:spacing/>
      <w:ind w:left="720"/>
      <w:contextualSpacing w:val="true"/>
    </w:pPr>
  </w:style>
  <w:style w:type="character" w:styleId="884">
    <w:name w:val="Intense Emphasis"/>
    <w:basedOn w:val="865"/>
    <w:uiPriority w:val="21"/>
    <w:qFormat/>
    <w:pPr>
      <w:pBdr/>
      <w:spacing/>
      <w:ind/>
    </w:pPr>
    <w:rPr>
      <w:i/>
      <w:iCs/>
      <w:color w:val="0f4761" w:themeColor="accent1" w:themeShade="BF"/>
    </w:rPr>
  </w:style>
  <w:style w:type="paragraph" w:styleId="885">
    <w:name w:val="Intense Quote"/>
    <w:basedOn w:val="855"/>
    <w:next w:val="855"/>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customStyle="1">
    <w:name w:val="Intense Quote Char"/>
    <w:basedOn w:val="865"/>
    <w:link w:val="885"/>
    <w:uiPriority w:val="30"/>
    <w:pPr>
      <w:pBdr/>
      <w:spacing/>
      <w:ind/>
    </w:pPr>
    <w:rPr>
      <w:i/>
      <w:iCs/>
      <w:color w:val="0f4761" w:themeColor="accent1" w:themeShade="BF"/>
    </w:rPr>
  </w:style>
  <w:style w:type="character" w:styleId="887">
    <w:name w:val="Intense Reference"/>
    <w:basedOn w:val="865"/>
    <w:uiPriority w:val="32"/>
    <w:qFormat/>
    <w:pPr>
      <w:pBdr/>
      <w:spacing/>
      <w:ind/>
    </w:pPr>
    <w:rPr>
      <w:b/>
      <w:bCs/>
      <w:smallCaps/>
      <w:color w:val="0f4761" w:themeColor="accent1" w:themeShade="BF"/>
      <w:spacing w:val="5"/>
    </w:rPr>
  </w:style>
  <w:style w:type="character" w:styleId="888">
    <w:name w:val="Hyperlink"/>
    <w:basedOn w:val="865"/>
    <w:uiPriority w:val="99"/>
    <w:unhideWhenUsed/>
    <w:pPr>
      <w:pBdr/>
      <w:spacing/>
      <w:ind/>
    </w:pPr>
    <w:rPr>
      <w:color w:val="467886" w:themeColor="hyperlink"/>
      <w:u w:val="single"/>
    </w:rPr>
  </w:style>
  <w:style w:type="character" w:styleId="889">
    <w:name w:val="Unresolved Mention"/>
    <w:basedOn w:val="865"/>
    <w:uiPriority w:val="99"/>
    <w:semiHidden/>
    <w:unhideWhenUsed/>
    <w:pPr>
      <w:pBdr/>
      <w:spacing/>
      <w:ind/>
    </w:pPr>
    <w:rPr>
      <w:color w:val="605e5c"/>
      <w:shd w:val="clear" w:color="auto" w:fill="e1dfdd"/>
    </w:rPr>
  </w:style>
  <w:style w:type="table" w:styleId="890">
    <w:name w:val="Table Grid"/>
    <w:basedOn w:val="86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Normal (Web)"/>
    <w:basedOn w:val="855"/>
    <w:uiPriority w:val="99"/>
    <w:semiHidden/>
    <w:unhideWhenUsed/>
    <w:pPr>
      <w:pBdr/>
      <w:spacing/>
      <w:ind/>
    </w:pPr>
    <w:rPr>
      <w:rFonts w:ascii="Times New Roman" w:hAnsi="Times New Roman" w:cs="Times New Roman"/>
    </w:rPr>
  </w:style>
  <w:style w:type="paragraph" w:styleId="892">
    <w:name w:val="Caption"/>
    <w:basedOn w:val="855"/>
    <w:next w:val="855"/>
    <w:uiPriority w:val="35"/>
    <w:unhideWhenUsed/>
    <w:qFormat/>
    <w:pPr>
      <w:pBdr/>
      <w:spacing w:after="200" w:line="240" w:lineRule="auto"/>
      <w:ind/>
    </w:pPr>
    <w:rPr>
      <w:i/>
      <w:iCs/>
      <w:color w:val="0e2841"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206FA-A7BA-43AB-AA6A-1A5873BB9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HAZIM BIN HAZRI</dc:creator>
  <cp:keywords/>
  <dc:description/>
  <cp:revision>59</cp:revision>
  <dcterms:created xsi:type="dcterms:W3CDTF">2026-09-08T11:24:00Z</dcterms:created>
  <dcterms:modified xsi:type="dcterms:W3CDTF">2026-09-11T05:08:02Z</dcterms:modified>
</cp:coreProperties>
</file>