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ISO 27001 Internal Audit Report – SecureHealth SaaS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yi7q8e9n2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Audit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internal audit was conducted to evaluate SecureHealth SaaS’s alignment with ISO 27001 controls.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Scope: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infrastructure (AWS)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 systems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processes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3lv7u1ogz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Audit Objectives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implementation of selected ISO 27001 controls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compliance gaps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overall security posture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8bkmrt1oh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Methodology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was conducted through: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of control matrix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of documented processes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analysis against ISO 27001 Annex A controls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9so3mswhw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Findings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fyks9vcmz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🔴 High-Risk Findings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incident response plan in place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centralized logging and monitoring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formal vendor risk management process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wk7wuo2n6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🟠 Medium-Risk Findings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implementation of access controls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formal security policies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backup testing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8o1lhmf7db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5p4zdtbxo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hjm9djpdp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🟢 Low-Risk Findings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encryption measures implemented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access provisioning exists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d0pne62x4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Recommendations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and implement an incident response plan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centralized logging and monitoring tools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vendor risk management program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Formalize and document security policies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regular access reviews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nm5kna20j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Audit Conclusion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SecureHealth SaaS demonstrates </w:t>
      </w:r>
      <w:r w:rsidDel="00000000" w:rsidR="00000000" w:rsidRPr="00000000">
        <w:rPr>
          <w:b w:val="1"/>
          <w:bCs w:val="1"/>
          <w:rtl w:val="0"/>
        </w:rPr>
        <w:t xml:space="preserve">early-stage compliance maturity</w:t>
      </w:r>
      <w:r w:rsidDel="00000000" w:rsidR="00000000" w:rsidRPr="00000000">
        <w:rPr>
          <w:rtl w:val="0"/>
        </w:rPr>
        <w:t xml:space="preserve">. While foundational controls exist, significant gaps must be addressed to achieve ISO 27001 compliance readiness.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