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Software Licensing Agreement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Parties Involved:</w:t>
      </w:r>
    </w:p>
    <w:p w:rsidR="00000000" w:rsidDel="00000000" w:rsidP="00000000" w:rsidRDefault="00000000" w:rsidRPr="00000000" w14:paraId="00000004">
      <w:pPr>
        <w:numPr>
          <w:ilvl w:val="0"/>
          <w:numId w:val="2"/>
        </w:numPr>
        <w:ind w:left="720" w:hanging="360"/>
      </w:pPr>
      <w:r w:rsidDel="00000000" w:rsidR="00000000" w:rsidRPr="00000000">
        <w:rPr>
          <w:b w:val="1"/>
          <w:rtl w:val="0"/>
        </w:rPr>
        <w:t xml:space="preserve">Licensor: </w:t>
      </w:r>
      <w:r w:rsidDel="00000000" w:rsidR="00000000" w:rsidRPr="00000000">
        <w:rPr>
          <w:rtl w:val="0"/>
        </w:rPr>
        <w:t xml:space="preserve">EFG Software</w:t>
      </w:r>
    </w:p>
    <w:p w:rsidR="00000000" w:rsidDel="00000000" w:rsidP="00000000" w:rsidRDefault="00000000" w:rsidRPr="00000000" w14:paraId="00000005">
      <w:pPr>
        <w:numPr>
          <w:ilvl w:val="0"/>
          <w:numId w:val="2"/>
        </w:numPr>
        <w:ind w:left="720" w:hanging="360"/>
      </w:pPr>
      <w:r w:rsidDel="00000000" w:rsidR="00000000" w:rsidRPr="00000000">
        <w:rPr>
          <w:b w:val="1"/>
          <w:rtl w:val="0"/>
        </w:rPr>
        <w:t xml:space="preserve">Licensee: </w:t>
      </w:r>
      <w:r w:rsidDel="00000000" w:rsidR="00000000" w:rsidRPr="00000000">
        <w:rPr>
          <w:rtl w:val="0"/>
        </w:rPr>
        <w:t xml:space="preserve">LMN Enterprises</w:t>
      </w:r>
    </w:p>
    <w:p w:rsidR="00000000" w:rsidDel="00000000" w:rsidP="00000000" w:rsidRDefault="00000000" w:rsidRPr="00000000" w14:paraId="00000006">
      <w:pPr>
        <w:rPr/>
      </w:pPr>
      <w:r w:rsidDel="00000000" w:rsidR="00000000" w:rsidRPr="00000000">
        <w:rPr>
          <w:b w:val="1"/>
          <w:rtl w:val="0"/>
        </w:rPr>
        <w:t xml:space="preserve">Effective Date: </w:t>
      </w:r>
      <w:r w:rsidDel="00000000" w:rsidR="00000000" w:rsidRPr="00000000">
        <w:rPr>
          <w:rtl w:val="0"/>
        </w:rPr>
        <w:t xml:space="preserve">April 15, 2023</w:t>
      </w:r>
    </w:p>
    <w:p w:rsidR="00000000" w:rsidDel="00000000" w:rsidP="00000000" w:rsidRDefault="00000000" w:rsidRPr="00000000" w14:paraId="00000007">
      <w:pPr>
        <w:rPr/>
      </w:pPr>
      <w:r w:rsidDel="00000000" w:rsidR="00000000" w:rsidRPr="00000000">
        <w:rPr>
          <w:b w:val="1"/>
          <w:rtl w:val="0"/>
        </w:rPr>
        <w:t xml:space="preserve">Agreement Overview:</w:t>
      </w:r>
      <w:r w:rsidDel="00000000" w:rsidR="00000000" w:rsidRPr="00000000">
        <w:rPr>
          <w:rtl w:val="0"/>
        </w:rPr>
        <w:br w:type="textWrapping"/>
        <w:t xml:space="preserve">EFG Software hereby grants LMN Enterprises a license to use its proprietary software for internal business operations. All components of the software, including its source code, algorithms, and user interface, are retained as the exclusive intellectual property of EFG Software.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Terms of the Agreement:</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Usage: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 Licensee, LMN Enterprises, is authorized to install and use the software on a maximum of 200 workstations located within their business premises.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The external dissemination, distribution, or resale of the software is expressly forbidden.</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Maintenance and Updates: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EFG Software pledges to supply the Licensee with software patches on a monthly basis.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Annual software version upgrades will be provided to enhance both its functionality and security.</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Termination:</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This licensing agreement can be concluded by either party, given a 90-day prior notice.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Termination is conditional upon both parties meeting their contractual responsibilities, including payments.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Liabilities: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EFG Software disclaims any liability for direct or consequential damages arising from potential software defects or malfunctions.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LMN Enterprises, as the Licensee, holds the duty of regularly backing up their data to prevent potential data loss or corruption.</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