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 Medical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Patient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John Doe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Date of Birth: January 1, 1980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Gender: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Contact Information: john.doe@example.com, (555) 123-4567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Address: 123 Main Street, Anytown, USA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Medical History: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Known Medical Conditions: Hypertension, Type 2 Diabetes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Allergies: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Medications: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Metformin 500mg, twice daily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Lisinopril 10mg, once daily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Presenting Complaint: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The patient complains of persistent headaches and occasional dizziness.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Physical Examination: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General Appearance: The patient appears well-nourished and in no acute distress.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Vital Signs: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Blood Pressure: 130/80 mmHg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Heart Rate: 78 beats per minute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Respiratory Rate: 16 breaths per minute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Temperature: 98.6°F (37°C)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Examination Findings: No abnormalities detected. Neurological examination within normal limits.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Assessment and Plan: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Diagnosis: Primary hypertension, likely contributing to the patient's headaches.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Treatment Plan: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Adjust Lisinopril dosage to 20mg, once daily.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Advise lifestyle modifications, including regular exercise and a low-sodium diet.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Follow-up: Schedule a follow-up visit in four weeks to assess the patient's response to treatment and monitor blood pressure.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Patient Education: Instruct the patient on the importance of medication adherence and lifestyle modifications to manage hypertension.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The patient's blood pressure has been gradually increasing over the past year, warranting an adjustment in the antihypertensive medication dosage.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No signs of other concerning symptoms or underlying neurological issues observed during the examination.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