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Patient Medical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Patient Information: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Name: Robert Anderson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Date of Birth: December 5, 1992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Gender: Male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Contact Information: robert.anderson@example.com, (555) 246-8139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Address: 789 Elm Street, Townsville, USA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Medical History: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Known Medical Conditions: Major Depressive Disorder, Anxiety Disorder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Allergies: None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Medications: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Sertraline 100mg, once daily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Alprazolam 0.5mg, as needed for anxiety symptoms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Presenting Complaint: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The patient reports persistent low mood, loss of interest, and increased anxiety.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Physical Examination: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General Appearance: The patient appears sad, with decreased eye contact and psychomotor retardation.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Vital Signs: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Blood Pressure: 110/70 mmHg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Heart Rate: 68 beats per minute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Respiratory Rate: 14 breaths per minute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Temperature: 98.6°F (37°C)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Examination Findings: No abnormalities detected during the physical examination.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Assessment and Plan: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Diagnosis: Recurrent major depressive disorder with comorbid anxiety.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Treatment Plan: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Continue current dosage of sertraline for depression management.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Provide psychoeducation and recommend therapy sessions to address anxiety symptoms.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Follow-up: Schedule a follow-up visit in four weeks to assess treatment response and evaluate the need for adjustments.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Patient Education: Discuss the importance of medication adherence, self-care strategies, and available support resources.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The patient's depressive symptoms have persisted despite being on a therapeutic dose of sertraline for eight weeks, indicating the need for ongoing monitoring and treatment adjustment.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Assessing potential contributing factors such as recent life events and social support will be important during therapy sessions.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