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Quarterly Environmental Impact Report for ZYX Manufacturing</w:t>
        <w:br w:type="textWrapping"/>
        <w:t xml:space="preserve">This report outlines ZYX's carbon footprint, waste management practices, and adherence to environmental standards for Q2 2023.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Health and Safety Compliance for ABC Constructions</w:t>
        <w:br w:type="textWrapping"/>
        <w:t xml:space="preserve">Included is a detailed breakdown of safety protocols, incident reports, and corrective measures taken at all ABC construction sites in the past year.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Financial Audit for DEF Retail</w:t>
        <w:br w:type="textWrapping"/>
        <w:t xml:space="preserve">Independent auditors have reviewed DEF's financial transactions, tax payments, and accounting practices for fiscal year 2022.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Data Protection and Privacy Compliance for GHI Online Services</w:t>
        <w:br w:type="textWrapping"/>
        <w:t xml:space="preserve">GHI reports on its data handling practices, encryption standards, and user consent mechanisms in light of recent data protection regulations.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Ethical Standards Report for JKL Pharmaceuticals</w:t>
        <w:br w:type="textWrapping"/>
        <w:t xml:space="preserve">This document describes JKL's adherence to ethical research and testing standards, with a focus on human clinical trials conducted in 2022.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