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94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On Mergers and Acquisitions in the Tech Industry</w:t>
        <w:br w:type="textWrapping"/>
        <w:t xml:space="preserve">Based on recent antitrust laws and precedents, it's our belief that the merger between A1 Tech and B2 Innovations may face regulatory hurdles due to potential market monopolization concerns.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94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Regarding Employee Rights in Remote Work</w:t>
        <w:br w:type="textWrapping"/>
        <w:t xml:space="preserve">Given the shift to remote work, legal precedents suggest that employers are still responsible for ensuring ergonomic work environments, even in employees' homes.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94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On Cryptocurrency Regulations</w:t>
        <w:br w:type="textWrapping"/>
        <w:t xml:space="preserve">Recent judgments indicate a trend toward stricter regulations for cryptocurrency exchanges, emphasizing transparency, anti-money laundering measures, and consumer protection.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94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Opinion on Intellectual Property in the Fashion Industry</w:t>
        <w:br w:type="textWrapping"/>
        <w:t xml:space="preserve">While designs themselves are hard to copyright, unique patterns, prints, or trademarked logos enjoy legal protection against direct replication.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94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On Direct-to-Consumer Pharmaceutical Advertising</w:t>
        <w:br w:type="textWrapping"/>
        <w:t xml:space="preserve">There's a growing legal consensus against aggressive DTC advertising for prescription drugs, emphasizing the need for clear communication of potential side effects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