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940" w:hanging="360"/>
        <w:rPr>
          <w:sz w:val="36"/>
          <w:szCs w:val="36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36"/>
          <w:szCs w:val="36"/>
          <w:shd w:fill="f7f7f8" w:val="clear"/>
          <w:rtl w:val="0"/>
        </w:rPr>
        <w:t xml:space="preserve">Employee Non-Disclosure Agreement</w:t>
        <w:br w:type="textWrapping"/>
        <w:t xml:space="preserve">XYZ Corporation, with its principal office at 123 Corporate Drive, and Ms. Jane Doe, residing at 456 Elm Street, agree to the following terms as of May 1, 2023: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36"/>
          <w:szCs w:val="36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36"/>
          <w:szCs w:val="36"/>
          <w:shd w:fill="f7f7f8" w:val="clear"/>
          <w:rtl w:val="0"/>
        </w:rPr>
        <w:t xml:space="preserve">Definition of Confidential Information: Information that encompasses trade secrets, company strategies, client lists, proprietary software, and internal communications.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36"/>
          <w:szCs w:val="36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36"/>
          <w:szCs w:val="36"/>
          <w:shd w:fill="f7f7f8" w:val="clear"/>
          <w:rtl w:val="0"/>
        </w:rPr>
        <w:t xml:space="preserve">Obligations: Jane Doe shall refrain from sharing, publishing, or using the aforementioned information for personal gain or any intent that might harm XYZ Corporation's interests.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z w:val="36"/>
          <w:szCs w:val="36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36"/>
          <w:szCs w:val="36"/>
          <w:shd w:fill="f7f7f8" w:val="clear"/>
          <w:rtl w:val="0"/>
        </w:rPr>
        <w:t xml:space="preserve">Duration: This agreement remains valid during the tenure of Ms. Doe's employment and for five years post her departure or resignation.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sz w:val="36"/>
          <w:szCs w:val="36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36"/>
          <w:szCs w:val="36"/>
          <w:shd w:fill="f7f7f8" w:val="clear"/>
          <w:rtl w:val="0"/>
        </w:rPr>
        <w:t xml:space="preserve">Legal Remedies: In the event of a breach, XYZ Corporation retains the right to seek legal remedies, including compensation for damages and injunctive relief.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