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65CA4">
      <w:pPr>
        <w:jc w:val="center"/>
        <w:rPr>
          <w:rFonts w:hint="default" w:ascii="Times New Roman Bold" w:hAnsi="Times New Roman Bold" w:cs="Times New Roman Bold"/>
          <w:b/>
          <w:bCs w:val="0"/>
          <w:sz w:val="28"/>
          <w:szCs w:val="36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36"/>
          <w:lang w:val="en-US" w:eastAsia="zh-CN"/>
        </w:rPr>
        <w:t>Statistical analyses and visualisations</w:t>
      </w:r>
    </w:p>
    <w:p w14:paraId="0ED96D62">
      <w:pPr>
        <w:jc w:val="both"/>
        <w:rPr>
          <w:rFonts w:hint="default" w:ascii="Times New Roman" w:hAnsi="Times New Roman" w:cs="Times New Roman"/>
          <w:b w:val="0"/>
        </w:rPr>
      </w:pPr>
    </w:p>
    <w:p w14:paraId="09C2C234">
      <w:p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For the data analysis and visualization part, I produced three R scripts, six plots, and two .rds model files:</w:t>
      </w:r>
    </w:p>
    <w:p w14:paraId="78689055">
      <w:pPr>
        <w:jc w:val="both"/>
        <w:rPr>
          <w:rFonts w:hint="default" w:ascii="Times New Roman" w:hAnsi="Times New Roman" w:cs="Times New Roman"/>
          <w:b w:val="0"/>
        </w:rPr>
      </w:pPr>
    </w:p>
    <w:p w14:paraId="7D05C95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>R Scripts (src/ folder):</w:t>
      </w:r>
    </w:p>
    <w:p w14:paraId="048D231C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 xml:space="preserve">data_processing.R: </w:t>
      </w:r>
    </w:p>
    <w:p w14:paraId="5F38FB84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b w:val="0"/>
          <w:lang w:val="en-US" w:eastAsia="zh-CN"/>
        </w:rPr>
      </w:pPr>
      <w:r>
        <w:rPr>
          <w:rFonts w:hint="default" w:ascii="Times New Roman" w:hAnsi="Times New Roman" w:cs="Times New Roman"/>
          <w:b w:val="0"/>
        </w:rPr>
        <w:t>Cleans the raw data, reverse-scores questionnaire items, and computes HEXACO, TWQ dimensions, and an overall TWQ score.</w:t>
      </w:r>
      <w:r>
        <w:rPr>
          <w:rFonts w:hint="default" w:ascii="Times New Roman" w:hAnsi="Times New Roman" w:cs="Times New Roman"/>
          <w:b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</w:rPr>
        <w:t>The cleaned dataset is saved in</w:t>
      </w:r>
      <w:r>
        <w:rPr>
          <w:rFonts w:hint="default" w:ascii="Times New Roman" w:hAnsi="Times New Roman" w:cs="Times New Roman"/>
          <w:b w:val="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</w:rPr>
        <w:t>data/processed_data.csv</w:t>
      </w:r>
      <w:r>
        <w:rPr>
          <w:rFonts w:hint="default" w:ascii="Times New Roman" w:hAnsi="Times New Roman" w:cs="Times New Roman"/>
          <w:b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lang w:val="en-US" w:eastAsia="zh-CN"/>
        </w:rPr>
        <w:t>while the dataset including all raw item responses is saved in data/processed_data_raw.csv.</w:t>
      </w:r>
    </w:p>
    <w:p w14:paraId="5716CE81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b w:val="0"/>
          <w:lang w:val="en-US" w:eastAsia="zh-CN"/>
        </w:rPr>
      </w:pPr>
    </w:p>
    <w:p w14:paraId="40608A92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 xml:space="preserve">data_analysis.R: </w:t>
      </w:r>
    </w:p>
    <w:p w14:paraId="6CFADB5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Generates descriptive statistics, correlation matrices, and exploratory visualizations (heatmaps and scatterplots).</w:t>
      </w:r>
    </w:p>
    <w:p w14:paraId="6B4C46E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 w:val="0"/>
        </w:rPr>
      </w:pPr>
    </w:p>
    <w:p w14:paraId="7FF59E53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 Bold" w:hAnsi="Times New Roman Bold" w:cs="Times New Roman Bold"/>
          <w:b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lang w:val="en-US" w:eastAsia="zh-CN"/>
        </w:rPr>
        <w:t xml:space="preserve">mixed_model.R: </w:t>
      </w:r>
    </w:p>
    <w:p w14:paraId="76D6037A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 w:eastAsiaTheme="minorEastAsia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4"/>
          <w:lang w:val="en-US" w:eastAsia="zh-CN" w:bidi="ar-SA"/>
        </w:rPr>
        <w:t xml:space="preserve">Fits Linear Mixed-Effects Models (LMM) to account for the nested </w:t>
      </w: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4"/>
          <w:lang w:val="en-US" w:eastAsia="zh-CN" w:bidi="ar-SA"/>
        </w:rPr>
        <w:t>data structure (participants within teams)</w:t>
      </w: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4"/>
          <w:lang w:val="en-US" w:eastAsia="zh-CN" w:bidi="ar-SA"/>
        </w:rPr>
        <w:t>and extracts parameters for the Shiny app. It also performs model assumption checks (residual normality and homoscedasticity), which confirmed that the models are statistically valid.</w:t>
      </w:r>
    </w:p>
    <w:p w14:paraId="1BB9663E">
      <w:pPr>
        <w:jc w:val="both"/>
        <w:rPr>
          <w:rFonts w:hint="default" w:ascii="Times New Roman" w:hAnsi="Times New Roman" w:cs="Times New Roman"/>
          <w:b w:val="0"/>
        </w:rPr>
      </w:pPr>
    </w:p>
    <w:p w14:paraId="25053C8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>Visualizations (figures/ folder):</w:t>
      </w:r>
    </w:p>
    <w:p w14:paraId="3758E3F6">
      <w:p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6 plots in total: Distributions of scores, Correlation heatmap, two faceted scatterplots, Forest plot of the mixed model, and Diagnostic plots (Q-Q plot &amp; Residuals vs Fitted).</w:t>
      </w:r>
    </w:p>
    <w:p w14:paraId="4DB16A85">
      <w:pPr>
        <w:jc w:val="both"/>
        <w:rPr>
          <w:rFonts w:hint="default" w:ascii="Times New Roman" w:hAnsi="Times New Roman" w:cs="Times New Roman"/>
          <w:b w:val="0"/>
        </w:rPr>
      </w:pPr>
    </w:p>
    <w:p w14:paraId="72B7685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>Model Files (src/ folder):</w:t>
      </w:r>
    </w:p>
    <w:p w14:paraId="3C3809D9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model_focused.rds: The fitted mixed model for the single-slider app simulation (Support ~ Agreeableness).</w:t>
      </w:r>
    </w:p>
    <w:p w14:paraId="477E84E6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model_multi.rds: The fitted mixed model for the 6-slider app simulation (Overall TWQ ~ All traits).</w:t>
      </w:r>
    </w:p>
    <w:p w14:paraId="7F4F13CE">
      <w:pPr>
        <w:jc w:val="both"/>
        <w:rPr>
          <w:rFonts w:hint="default" w:ascii="Times New Roman" w:hAnsi="Times New Roman" w:cs="Times New Roman"/>
          <w:b w:val="0"/>
        </w:rPr>
      </w:pPr>
    </w:p>
    <w:p w14:paraId="014C92E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 Bold" w:hAnsi="Times New Roman Bold" w:cs="Times New Roman Bold"/>
          <w:b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R</w:t>
      </w:r>
      <w:r>
        <w:rPr>
          <w:rFonts w:hint="default" w:ascii="Times New Roman Bold" w:hAnsi="Times New Roman Bold" w:cs="Times New Roman Bold"/>
          <w:b/>
          <w:bCs w:val="0"/>
          <w:lang w:val="en-US" w:eastAsia="zh-CN"/>
        </w:rPr>
        <w:t>esults:</w:t>
      </w:r>
    </w:p>
    <w:p w14:paraId="45B5B4DD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>Descriptives and Correlations</w:t>
      </w:r>
    </w:p>
    <w:p w14:paraId="54013FEB">
      <w:p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drawing>
          <wp:inline distT="0" distB="0" distL="114300" distR="114300">
            <wp:extent cx="2656840" cy="1771650"/>
            <wp:effectExtent l="0" t="0" r="10160" b="6350"/>
            <wp:docPr id="2" name="Picture 2" descr="Distributions of HEXACO and TWQ sc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stributions of HEXACO and TWQ scor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lang w:val="en-US"/>
        </w:rPr>
        <w:t xml:space="preserve"> .    </w:t>
      </w:r>
      <w:r>
        <w:rPr>
          <w:rFonts w:hint="default" w:ascii="Times New Roman" w:hAnsi="Times New Roman" w:cs="Times New Roman"/>
          <w:b w:val="0"/>
        </w:rPr>
        <w:drawing>
          <wp:inline distT="0" distB="0" distL="114300" distR="114300">
            <wp:extent cx="2223770" cy="1779270"/>
            <wp:effectExtent l="0" t="0" r="11430" b="241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603E">
      <w:p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The correlation heatmap shows that the TWQ dimensions are highly inter-correlated (supporting the computation of an overall TWQ score). Across scales, Agreeableness showed the strongest positive association with Teamwork Quality, specifically with Support (r = 0.38) and Communication (r = 0.36). Emotionality showed a negative trend with overall teamwork quality.</w:t>
      </w:r>
    </w:p>
    <w:p w14:paraId="53CFB15E">
      <w:pPr>
        <w:jc w:val="both"/>
        <w:rPr>
          <w:rFonts w:hint="default" w:ascii="Times New Roman" w:hAnsi="Times New Roman" w:cs="Times New Roman"/>
          <w:b w:val="0"/>
        </w:rPr>
      </w:pPr>
    </w:p>
    <w:p w14:paraId="351E10CC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>Visualizing Relationships</w:t>
      </w:r>
    </w:p>
    <w:p w14:paraId="23E7742F">
      <w:pPr>
        <w:jc w:val="both"/>
        <w:rPr>
          <w:rFonts w:hint="default" w:ascii="Times New Roman" w:hAnsi="Times New Roman" w:cs="Times New Roman" w:eastAsiaTheme="minorEastAsia"/>
          <w:b w:val="0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lang w:eastAsia="zh-CN"/>
        </w:rPr>
        <w:drawing>
          <wp:inline distT="0" distB="0" distL="114300" distR="114300">
            <wp:extent cx="2489835" cy="1494155"/>
            <wp:effectExtent l="0" t="0" r="24765" b="4445"/>
            <wp:docPr id="4" name="Picture 4" descr="plot_scatter_agree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lot_scatter_agreeablenes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</w:rPr>
        <w:drawing>
          <wp:inline distT="0" distB="0" distL="114300" distR="114300">
            <wp:extent cx="2497455" cy="1498600"/>
            <wp:effectExtent l="0" t="0" r="17145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8EA5">
      <w:p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The</w:t>
      </w:r>
      <w:r>
        <w:rPr>
          <w:rFonts w:hint="default" w:ascii="Times New Roman" w:hAnsi="Times New Roman" w:cs="Times New Roman"/>
          <w:b w:val="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</w:rPr>
        <w:t>scatterplots further illustrate these relationships. Higher agreeableness and extraversion are visibly associated with better overall teamwork quality, while higher emotionality is associated with lower teamwork quality.</w:t>
      </w:r>
    </w:p>
    <w:p w14:paraId="6E5E9951">
      <w:pPr>
        <w:jc w:val="both"/>
        <w:rPr>
          <w:rFonts w:hint="default" w:ascii="Times New Roman" w:hAnsi="Times New Roman" w:cs="Times New Roman"/>
          <w:b w:val="0"/>
        </w:rPr>
      </w:pPr>
    </w:p>
    <w:p w14:paraId="2B3CCD3B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>Mixed-Effects Model Results</w:t>
      </w:r>
    </w:p>
    <w:p w14:paraId="1FFEB297">
      <w:pPr>
        <w:jc w:val="center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drawing>
          <wp:inline distT="0" distB="0" distL="114300" distR="114300">
            <wp:extent cx="3178810" cy="2384425"/>
            <wp:effectExtent l="0" t="0" r="21590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E871">
      <w:p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To account for the nested data structure (participants within teams), we fitted mixed-effects models. The focused model predicting Support from Agreeableness was significant (b = 0.45, 95% CI [0.21, 0.91]).</w:t>
      </w:r>
    </w:p>
    <w:p w14:paraId="6573F8CD">
      <w:pPr>
        <w:jc w:val="both"/>
        <w:rPr>
          <w:rFonts w:hint="default" w:ascii="Times New Roman" w:hAnsi="Times New Roman" w:cs="Times New Roman"/>
          <w:b w:val="0"/>
        </w:rPr>
      </w:pPr>
    </w:p>
    <w:p w14:paraId="154BD7E9">
      <w:p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When controlling for all six traits simultaneously (predicting overall TWQ), Agreeableness remained the only significant positive predictor (b = 0.32, 95% CI [0.06, 0.59]). Emotionality showed a non-significant negative trend (95% CI [-0.32, 0.07]).</w:t>
      </w:r>
    </w:p>
    <w:p w14:paraId="50A0C391">
      <w:pPr>
        <w:jc w:val="both"/>
        <w:rPr>
          <w:rFonts w:hint="default" w:ascii="Times New Roman" w:hAnsi="Times New Roman" w:cs="Times New Roman"/>
          <w:b w:val="0"/>
        </w:rPr>
      </w:pPr>
    </w:p>
    <w:p w14:paraId="6F6E105B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>Model Assumptions</w:t>
      </w:r>
    </w:p>
    <w:p w14:paraId="43E6C383">
      <w:pPr>
        <w:jc w:val="center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drawing>
          <wp:inline distT="0" distB="0" distL="114300" distR="114300">
            <wp:extent cx="2252345" cy="2252345"/>
            <wp:effectExtent l="0" t="0" r="8255" b="825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1E0F">
      <w:p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 xml:space="preserve">Diagnostic checks confirmed that the mixed models met the assumptions of normality and homoscedasticity.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</w:rPr>
        <w:t>Multicollinearity was not a concern (all VIFs &lt; 1.5).</w:t>
      </w:r>
    </w:p>
    <w:p w14:paraId="4FA56F98">
      <w:pPr>
        <w:jc w:val="both"/>
        <w:rPr>
          <w:rFonts w:hint="default" w:ascii="Times New Roman" w:hAnsi="Times New Roman" w:cs="Times New Roman"/>
          <w:b w:val="0"/>
        </w:rPr>
      </w:pPr>
    </w:p>
    <w:p w14:paraId="107E17C6">
      <w:pPr>
        <w:jc w:val="both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bCs/>
        </w:rPr>
        <w:t>Limitations:</w:t>
      </w:r>
      <w:r>
        <w:rPr>
          <w:rFonts w:hint="default" w:ascii="Times New Roman" w:hAnsi="Times New Roman" w:cs="Times New Roman"/>
          <w:b w:val="0"/>
        </w:rPr>
        <w:t xml:space="preserve"> The sample size is relatively small (N = 54 across 13 teams). Therefore, estimates should be interpreted with caution and are reported with 95% confidence intervals. Associations do not imply causation.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FAA76"/>
    <w:multiLevelType w:val="singleLevel"/>
    <w:tmpl w:val="EEEFAA7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DDB255"/>
    <w:multiLevelType w:val="singleLevel"/>
    <w:tmpl w:val="FFDDB25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DF7DCA0"/>
    <w:multiLevelType w:val="singleLevel"/>
    <w:tmpl w:val="5DF7DCA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FEFDD27"/>
    <w:multiLevelType w:val="singleLevel"/>
    <w:tmpl w:val="6FEFDD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A6337"/>
    <w:rsid w:val="EFEA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2026-10-22T12:10:00Z</dcterms:created>
  <dc:creator>山海</dc:creator>
  <cp:lastModifiedBy>山海</cp:lastModifiedBy>
  <dcterms:modified xsi:type="dcterms:W3CDTF">2026-10-22T21:19:02Z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23B851D74066F744FBE0D96AAF20F4D9_41</vt:lpwstr>
  </property>
</Properties>
</file>