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Aptos Display" w:hAnsi="Aptos Display"/>
          <w:b/>
          <w:color w:val="16324F"/>
          <w:sz w:val="48"/>
        </w:rPr>
        <w:t>VJLM – End-to-End Implementation &amp; Decision Plan</w:t>
      </w:r>
    </w:p>
    <w:p>
      <w:pPr>
        <w:spacing w:after="240"/>
        <w:jc w:val="center"/>
      </w:pPr>
      <w:r>
        <w:rPr>
          <w:rFonts w:ascii="Aptos" w:hAnsi="Aptos"/>
          <w:color w:val="1F7A8C"/>
          <w:sz w:val="24"/>
        </w:rPr>
        <w:t>Vijnana Jyothi Language Model | Local, Role-Aware, Domain-Specific AI Assistant for VNRVJIET</w:t>
      </w:r>
    </w:p>
    <w:tbl>
      <w:tblPr>
        <w:tblW w:type="auto" w:w="0"/>
        <w:jc w:val="center"/>
        <w:tblLook w:firstColumn="1" w:firstRow="1" w:lastColumn="0" w:lastRow="0" w:noHBand="0" w:noVBand="1" w:val="04A0"/>
      </w:tblPr>
      <w:tblGrid>
        <w:gridCol w:w="10282"/>
      </w:tblGrid>
      <w:tr>
        <w:trPr>
          <w:cantSplit/>
        </w:trPr>
        <w:tc>
          <w:tcPr>
            <w:tcW w:type="dxa" w:w="10282"/>
            <w:shd w:fill="EAF4F7"/>
            <w:tcMar>
              <w:top w:w="100" w:type="dxa"/>
              <w:start w:w="140" w:type="dxa"/>
              <w:bottom w:w="100" w:type="dxa"/>
              <w:end w:w="140" w:type="dxa"/>
            </w:tcMar>
            <w:tcBorders>
              <w:top w:val="single" w:sz="8" w:color="1F7A8C"/>
              <w:left w:val="single" w:sz="8" w:color="1F7A8C"/>
              <w:bottom w:val="single" w:sz="8" w:color="1F7A8C"/>
              <w:right w:val="single" w:sz="8" w:color="1F7A8C"/>
            </w:tcBorders>
          </w:tcPr>
          <w:p>
            <w:pPr>
              <w:spacing w:after="40"/>
            </w:pPr>
            <w:r>
              <w:rPr>
                <w:rFonts w:ascii="Aptos" w:hAnsi="Aptos"/>
                <w:b/>
                <w:color w:val="16324F"/>
                <w:sz w:val="21"/>
              </w:rPr>
              <w:t>Purpose of this document</w:t>
            </w:r>
          </w:p>
          <w:p>
            <w:pPr>
              <w:spacing w:after="0" w:line="252" w:lineRule="auto"/>
            </w:pPr>
            <w:r>
              <w:rPr>
                <w:rFonts w:ascii="Aptos" w:hAnsi="Aptos"/>
                <w:sz w:val="19"/>
              </w:rPr>
              <w:t>This is the master build plan for Desktop AI. It does not blindly select technologies. At every major stage, Desktop AI must research the current options using its inbuilt browser, build a small benchmark on VJLM data, compare alternatives using measurable criteria, record the decision, and only then continue implementation.</w:t>
            </w:r>
          </w:p>
        </w:tc>
      </w:tr>
    </w:tbl>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Non-negotiable</w:t>
            </w:r>
          </w:p>
        </w:tc>
        <w:tc>
          <w:tcPr>
            <w:tcW w:type="dxa" w:w="8280"/>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VJLM requirement</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Initial users</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Students and faculty.</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Initial data scope</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Publicly available VNRVJIET website data. Login-only and private institutional data are not part of the first build.</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Deployment</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Entire inference system must run locally/on-premise; no external LLM API at runtime.</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Research</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Desktop AI should use its inbuilt browser to verify current official documentation, model cards, licenses, library compatibility, and recent implementation guidance before selecting components.</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Knowledge freshness</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RAG must be self-maintaining: detect new, changed, moved, and deleted website content and synchronize the local knowledge base.</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Fine-tuning</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Fine-tuning may include stable VNR-specific knowledge, terminology, role-specific behavior, and high-quality instruction/QA examples; it must not be treated as the authoritative store for frequently changing facts.</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Security</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Authentication/RBAC must enforce access before retrieval. The model must never be the security boundary.</w:t>
            </w:r>
          </w:p>
        </w:tc>
      </w:tr>
      <w:tr>
        <w:tc>
          <w:tcPr>
            <w:tcW w:type="dxa" w:w="2376"/>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Selection rule</w:t>
            </w:r>
          </w:p>
        </w:tc>
        <w:tc>
          <w:tcPr>
            <w:tcW w:type="dxa" w:w="828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Do not choose a tool because it is popular. Choose it only after a VJLM-specific comparison or clearly documented engineering trade-off.</w:t>
            </w:r>
          </w:p>
        </w:tc>
      </w:tr>
    </w:tbl>
    <w:p/>
    <w:p>
      <w:pPr>
        <w:pStyle w:val="Heading2"/>
        <w:keepNext/>
        <w:spacing w:before="160" w:after="60"/>
      </w:pPr>
      <w:r>
        <w:t>Desktop AI operating instruction — read this before doing anything</w:t>
      </w:r>
    </w:p>
    <w:p>
      <w:pPr>
        <w:pStyle w:val="ListBullet"/>
        <w:spacing w:after="30" w:line="252" w:lineRule="auto"/>
      </w:pPr>
      <w:r>
        <w:rPr>
          <w:rFonts w:ascii="Aptos" w:hAnsi="Aptos"/>
          <w:sz w:val="19"/>
        </w:rPr>
        <w:t>Work in stages. Do not implement the whole system at once.</w:t>
      </w:r>
    </w:p>
    <w:p>
      <w:pPr>
        <w:pStyle w:val="ListBullet"/>
        <w:spacing w:after="30" w:line="252" w:lineRule="auto"/>
      </w:pPr>
      <w:r>
        <w:rPr>
          <w:rFonts w:ascii="Aptos" w:hAnsi="Aptos"/>
          <w:sz w:val="19"/>
        </w:rPr>
        <w:t>At the start of every stage, inspect the current repository and existing artifacts so work is not duplicated or broken.</w:t>
      </w:r>
    </w:p>
    <w:p>
      <w:pPr>
        <w:pStyle w:val="ListBullet"/>
        <w:spacing w:after="30" w:line="252" w:lineRule="auto"/>
      </w:pPr>
      <w:r>
        <w:rPr>
          <w:rFonts w:ascii="Aptos" w:hAnsi="Aptos"/>
          <w:sz w:val="19"/>
        </w:rPr>
        <w:t>Use the inbuilt browser whenever a decision depends on current information: model availability, licenses, llama.cpp support, quantization formats, embedding models, vector-store capabilities, fine-tuning libraries, official VNRVJIET website structure, or library documentation.</w:t>
      </w:r>
    </w:p>
    <w:p>
      <w:pPr>
        <w:pStyle w:val="ListBullet"/>
        <w:spacing w:after="30" w:line="252" w:lineRule="auto"/>
      </w:pPr>
      <w:r>
        <w:rPr>
          <w:rFonts w:ascii="Aptos" w:hAnsi="Aptos"/>
          <w:sz w:val="19"/>
        </w:rPr>
        <w:t>Prefer primary sources: official model cards, official documentation, original papers, and the official VNRVJIET website. Record URLs and the date checked in the decision log.</w:t>
      </w:r>
    </w:p>
    <w:p>
      <w:pPr>
        <w:pStyle w:val="ListBullet"/>
        <w:spacing w:after="30" w:line="252" w:lineRule="auto"/>
      </w:pPr>
      <w:r>
        <w:rPr>
          <w:rFonts w:ascii="Aptos" w:hAnsi="Aptos"/>
          <w:sz w:val="19"/>
        </w:rPr>
        <w:t>No external hosted LLM API is required for the VJLM runtime. If an external service appears useful during development, stop and explicitly justify it instead of silently adding it.</w:t>
      </w:r>
    </w:p>
    <w:p>
      <w:pPr>
        <w:pStyle w:val="ListBullet"/>
        <w:spacing w:after="30" w:line="252" w:lineRule="auto"/>
      </w:pPr>
      <w:r>
        <w:rPr>
          <w:rFonts w:ascii="Aptos" w:hAnsi="Aptos"/>
          <w:sz w:val="19"/>
        </w:rPr>
        <w:t>Build a baseline first, then improve one variable at a time. Keep experiment results reproducible.</w:t>
      </w:r>
    </w:p>
    <w:p>
      <w:pPr>
        <w:pStyle w:val="ListBullet"/>
        <w:spacing w:after="30" w:line="252" w:lineRule="auto"/>
      </w:pPr>
      <w:r>
        <w:rPr>
          <w:rFonts w:ascii="Aptos" w:hAnsi="Aptos"/>
          <w:sz w:val="19"/>
        </w:rPr>
        <w:t>Do not train on evaluation/test questions. Keep a held-out benchmark.</w:t>
      </w:r>
    </w:p>
    <w:p>
      <w:pPr>
        <w:pStyle w:val="ListBullet"/>
        <w:spacing w:after="30" w:line="252" w:lineRule="auto"/>
      </w:pPr>
      <w:r>
        <w:rPr>
          <w:rFonts w:ascii="Aptos" w:hAnsi="Aptos"/>
          <w:sz w:val="19"/>
        </w:rPr>
        <w:t>For website ingestion, never depend only on fragile CSS/XPath selectors. Keep raw snapshots, normalized content, source URL, timestamps, hashes, and version metadata.</w:t>
      </w:r>
    </w:p>
    <w:p>
      <w:pPr>
        <w:pStyle w:val="ListBullet"/>
        <w:spacing w:after="30" w:line="252" w:lineRule="auto"/>
      </w:pPr>
      <w:r>
        <w:rPr>
          <w:rFonts w:ascii="Aptos" w:hAnsi="Aptos"/>
          <w:sz w:val="19"/>
        </w:rPr>
        <w:t>For future restricted data, permissions must be checked before any chunk reaches the model.</w:t>
      </w:r>
    </w:p>
    <w:p>
      <w:pPr>
        <w:pStyle w:val="ListBullet"/>
        <w:spacing w:after="30" w:line="252" w:lineRule="auto"/>
      </w:pPr>
      <w:r>
        <w:rPr>
          <w:rFonts w:ascii="Aptos" w:hAnsi="Aptos"/>
          <w:sz w:val="19"/>
        </w:rPr>
        <w:t>At the end of each stage, produce the listed deliverables and update DECISIONS.md before moving on.</w:t>
      </w:r>
    </w:p>
    <w:p>
      <w:r/>
    </w:p>
    <w:p>
      <w:pPr>
        <w:pStyle w:val="Heading1"/>
        <w:keepNext/>
        <w:spacing w:before="240" w:after="100"/>
      </w:pPr>
      <w:r>
        <w:t>0. Reference Architecture and Current Project Scope</w:t>
      </w:r>
    </w:p>
    <w:p>
      <w:pPr>
        <w:spacing w:after="80" w:line="259" w:lineRule="auto"/>
      </w:pPr>
      <w:r>
        <w:rPr>
          <w:rFonts w:ascii="Aptos" w:hAnsi="Aptos"/>
          <w:sz w:val="20"/>
        </w:rPr>
        <w:t>The following diagrams are the current reference point for implementation. The first defines the VJLM architecture; the second defines the data categories already mapped for the project. The initial implementation is intentionally narrower: students + faculty, with public website data first.</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WhatsApp Image 2026-09-04 at 8.00.39 PM (1).jpeg"/>
                    <pic:cNvPicPr/>
                  </pic:nvPicPr>
                  <pic:blipFill>
                    <a:blip r:embed="rId9"/>
                    <a:stretch>
                      <a:fillRect/>
                    </a:stretch>
                  </pic:blipFill>
                  <pic:spPr>
                    <a:xfrm>
                      <a:off x="0" y="0"/>
                      <a:ext cx="6400800" cy="4267200"/>
                    </a:xfrm>
                    <a:prstGeom prst="rect"/>
                  </pic:spPr>
                </pic:pic>
              </a:graphicData>
            </a:graphic>
          </wp:inline>
        </w:drawing>
      </w:r>
    </w:p>
    <w:p>
      <w:pPr>
        <w:jc w:val="center"/>
      </w:pPr>
      <w:r>
        <w:rPr>
          <w:i/>
          <w:sz w:val="17"/>
        </w:rPr>
        <w:t>Figure 1. Current VJLM architecture supplied for the project.</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WhatsApp Image 2026-09-09 at 9.40.52 PM.jpeg"/>
                    <pic:cNvPicPr/>
                  </pic:nvPicPr>
                  <pic:blipFill>
                    <a:blip r:embed="rId10"/>
                    <a:stretch>
                      <a:fillRect/>
                    </a:stretch>
                  </pic:blipFill>
                  <pic:spPr>
                    <a:xfrm>
                      <a:off x="0" y="0"/>
                      <a:ext cx="6400800" cy="4267200"/>
                    </a:xfrm>
                    <a:prstGeom prst="rect"/>
                  </pic:spPr>
                </pic:pic>
              </a:graphicData>
            </a:graphic>
          </wp:inline>
        </w:drawing>
      </w:r>
    </w:p>
    <w:p>
      <w:pPr>
        <w:jc w:val="center"/>
      </w:pPr>
      <w:r>
        <w:rPr>
          <w:i/>
          <w:sz w:val="17"/>
        </w:rPr>
        <w:t>Figure 2. Current data-source classification; Phase 1 uses the public website column for student/faculty scope.</w:t>
      </w:r>
    </w:p>
    <w:p>
      <w:pPr>
        <w:pStyle w:val="Heading2"/>
        <w:keepNext/>
        <w:spacing w:before="160" w:after="60"/>
      </w:pPr>
      <w:r>
        <w:t>Core architecture principle</w:t>
      </w:r>
    </w:p>
    <w:tbl>
      <w:tblPr>
        <w:tblW w:type="auto" w:w="0"/>
        <w:jc w:val="center"/>
        <w:tblLook w:firstColumn="1" w:firstRow="1" w:lastColumn="0" w:lastRow="0" w:noHBand="0" w:noVBand="1" w:val="04A0"/>
      </w:tblPr>
      <w:tblGrid>
        <w:gridCol w:w="10282"/>
      </w:tblGrid>
      <w:tr>
        <w:trPr>
          <w:cantSplit/>
        </w:trPr>
        <w:tc>
          <w:tcPr>
            <w:tcW w:type="dxa" w:w="10282"/>
            <w:shd w:fill="E8F5F4"/>
            <w:tcMar>
              <w:top w:w="100" w:type="dxa"/>
              <w:start w:w="140" w:type="dxa"/>
              <w:bottom w:w="100" w:type="dxa"/>
              <w:end w:w="140" w:type="dxa"/>
            </w:tcMar>
            <w:tcBorders>
              <w:top w:val="single" w:sz="8" w:color="1F7A8C"/>
              <w:left w:val="single" w:sz="8" w:color="1F7A8C"/>
              <w:bottom w:val="single" w:sz="8" w:color="1F7A8C"/>
              <w:right w:val="single" w:sz="8" w:color="1F7A8C"/>
            </w:tcBorders>
          </w:tcPr>
          <w:p>
            <w:pPr>
              <w:spacing w:after="40"/>
            </w:pPr>
            <w:r>
              <w:rPr>
                <w:rFonts w:ascii="Aptos" w:hAnsi="Aptos"/>
                <w:b/>
                <w:color w:val="16324F"/>
                <w:sz w:val="21"/>
              </w:rPr>
              <w:t>Three responsibilities must remain separate</w:t>
            </w:r>
          </w:p>
          <w:p>
            <w:pPr>
              <w:spacing w:after="0" w:line="252" w:lineRule="auto"/>
            </w:pPr>
            <w:r>
              <w:rPr>
                <w:rFonts w:ascii="Aptos" w:hAnsi="Aptos"/>
                <w:sz w:val="19"/>
              </w:rPr>
              <w:t>Fine-tuning = what VJLM should inherently know and how it should behave. RAG = what VJLM should retrieve and verify from authoritative sources at query time. RBAC = what information the authenticated user is allowed to retrieve. Stable facts can appear in both fine-tuning and RAG; changing facts should remain in RAG.</w:t>
            </w:r>
          </w:p>
        </w:tc>
      </w:tr>
    </w:tbl>
    <w:p>
      <w:r/>
    </w:p>
    <w:p>
      <w:pPr>
        <w:pStyle w:val="Heading1"/>
        <w:keepNext/>
        <w:spacing w:before="240" w:after="100"/>
      </w:pPr>
      <w:r>
        <w:t>1. How VJLM Will Decide What Is “Best”</w:t>
      </w:r>
    </w:p>
    <w:p>
      <w:pPr>
        <w:spacing w:after="80" w:line="259" w:lineRule="auto"/>
      </w:pPr>
      <w:r>
        <w:rPr>
          <w:rFonts w:ascii="Aptos" w:hAnsi="Aptos"/>
          <w:sz w:val="20"/>
        </w:rPr>
        <w:t>The project should not claim a component is best globally. It should select the best option for VJLM under its own constraints: local CPU deployment, student/faculty queries, VNR-specific knowledge, maintainability after graduation, and role-aware retrieval.</w:t>
      </w:r>
    </w:p>
    <w:p>
      <w:pPr>
        <w:pStyle w:val="Heading2"/>
        <w:keepNext/>
        <w:spacing w:before="160" w:after="60"/>
      </w:pPr>
      <w:r>
        <w:t>1.1 The decision loop used at every technical stage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648"/>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Step</w:t>
            </w:r>
          </w:p>
        </w:tc>
        <w:tc>
          <w:tcPr>
            <w:tcW w:type="dxa" w:w="2232"/>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Action</w:t>
            </w:r>
          </w:p>
        </w:tc>
        <w:tc>
          <w:tcPr>
            <w:tcW w:type="dxa" w:w="7560"/>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Output</w:t>
            </w:r>
          </w:p>
        </w:tc>
      </w:tr>
      <w:tr>
        <w:tc>
          <w:tcPr>
            <w:tcW w:type="dxa" w:w="648"/>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w:t>
            </w:r>
          </w:p>
        </w:tc>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Define the requirement</w:t>
            </w:r>
          </w:p>
        </w:tc>
        <w:tc>
          <w:tcPr>
            <w:tcW w:type="dxa" w:w="756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What must this component do for VJLM? What are the hard constraints?</w:t>
            </w:r>
          </w:p>
        </w:tc>
      </w:tr>
      <w:tr>
        <w:tc>
          <w:tcPr>
            <w:tcW w:type="dxa" w:w="648"/>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2</w:t>
            </w:r>
          </w:p>
        </w:tc>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Browser research</w:t>
            </w:r>
          </w:p>
        </w:tc>
        <w:tc>
          <w:tcPr>
            <w:tcW w:type="dxa" w:w="756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Desktop AI checks current official docs/model cards/papers and creates a shortlist of realistic candidates.</w:t>
            </w:r>
          </w:p>
        </w:tc>
      </w:tr>
      <w:tr>
        <w:tc>
          <w:tcPr>
            <w:tcW w:type="dxa" w:w="648"/>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3</w:t>
            </w:r>
          </w:p>
        </w:tc>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Create a baseline</w:t>
            </w:r>
          </w:p>
        </w:tc>
        <w:tc>
          <w:tcPr>
            <w:tcW w:type="dxa" w:w="756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Implement the simplest correct option so the rest of the system can be tested.</w:t>
            </w:r>
          </w:p>
        </w:tc>
      </w:tr>
      <w:tr>
        <w:tc>
          <w:tcPr>
            <w:tcW w:type="dxa" w:w="648"/>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4</w:t>
            </w:r>
          </w:p>
        </w:tc>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Run a controlled comparison</w:t>
            </w:r>
          </w:p>
        </w:tc>
        <w:tc>
          <w:tcPr>
            <w:tcW w:type="dxa" w:w="756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Change only the component under test while using the same VJLM benchmark and hardware.</w:t>
            </w:r>
          </w:p>
        </w:tc>
      </w:tr>
      <w:tr>
        <w:tc>
          <w:tcPr>
            <w:tcW w:type="dxa" w:w="648"/>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5</w:t>
            </w:r>
          </w:p>
        </w:tc>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Measure</w:t>
            </w:r>
          </w:p>
        </w:tc>
        <w:tc>
          <w:tcPr>
            <w:tcW w:type="dxa" w:w="756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Use component-specific metrics: retrieval quality, answer quality, latency, RAM, storage, maintainability, security, etc.</w:t>
            </w:r>
          </w:p>
        </w:tc>
      </w:tr>
      <w:tr>
        <w:tc>
          <w:tcPr>
            <w:tcW w:type="dxa" w:w="648"/>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6</w:t>
            </w:r>
          </w:p>
        </w:tc>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Select and document</w:t>
            </w:r>
          </w:p>
        </w:tc>
        <w:tc>
          <w:tcPr>
            <w:tcW w:type="dxa" w:w="756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Record evidence, trade-offs, selected option, rejected options, and reasons in DECISIONS.md.</w:t>
            </w:r>
          </w:p>
        </w:tc>
      </w:tr>
      <w:tr>
        <w:tc>
          <w:tcPr>
            <w:tcW w:type="dxa" w:w="648"/>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7</w:t>
            </w:r>
          </w:p>
        </w:tc>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Freeze the stage</w:t>
            </w:r>
          </w:p>
        </w:tc>
        <w:tc>
          <w:tcPr>
            <w:tcW w:type="dxa" w:w="7560"/>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Do not keep changing a selected component unless later evidence shows a regression or incompatibility.</w:t>
            </w:r>
          </w:p>
        </w:tc>
      </w:tr>
    </w:tbl>
    <w:p>
      <w:pPr>
        <w:pStyle w:val="Heading2"/>
        <w:keepNext/>
        <w:spacing w:before="160" w:after="60"/>
      </w:pPr>
      <w:r>
        <w:t>1.2 Universal selection rules</w:t>
      </w:r>
    </w:p>
    <w:p>
      <w:pPr>
        <w:pStyle w:val="ListBullet"/>
        <w:spacing w:after="30" w:line="252" w:lineRule="auto"/>
      </w:pPr>
      <w:r>
        <w:rPr>
          <w:rFonts w:ascii="Aptos" w:hAnsi="Aptos"/>
          <w:sz w:val="19"/>
        </w:rPr>
        <w:t>Correctness first. A faster component that materially lowers retrieval/answer quality should not win unless hardware constraints require it.</w:t>
      </w:r>
    </w:p>
    <w:p>
      <w:pPr>
        <w:pStyle w:val="ListBullet"/>
        <w:spacing w:after="30" w:line="252" w:lineRule="auto"/>
      </w:pPr>
      <w:r>
        <w:rPr>
          <w:rFonts w:ascii="Aptos" w:hAnsi="Aptos"/>
          <w:sz w:val="19"/>
        </w:rPr>
        <w:t>Local feasibility matters. CPU/RAM/storage limits are part of the benchmark, not an afterthought.</w:t>
      </w:r>
    </w:p>
    <w:p>
      <w:pPr>
        <w:pStyle w:val="ListBullet"/>
        <w:spacing w:after="30" w:line="252" w:lineRule="auto"/>
      </w:pPr>
      <w:r>
        <w:rPr>
          <w:rFonts w:ascii="Aptos" w:hAnsi="Aptos"/>
          <w:sz w:val="19"/>
        </w:rPr>
        <w:t>Prefer simple, maintainable systems when quality is close. VJLM must remain operable after the current student team graduates.</w:t>
      </w:r>
    </w:p>
    <w:p>
      <w:pPr>
        <w:pStyle w:val="ListBullet"/>
        <w:spacing w:after="30" w:line="252" w:lineRule="auto"/>
      </w:pPr>
      <w:r>
        <w:rPr>
          <w:rFonts w:ascii="Aptos" w:hAnsi="Aptos"/>
          <w:sz w:val="19"/>
        </w:rPr>
        <w:t>Prefer open, well-documented components with licenses compatible with academic/on-premise deployment.</w:t>
      </w:r>
    </w:p>
    <w:p>
      <w:pPr>
        <w:pStyle w:val="ListBullet"/>
        <w:spacing w:after="30" w:line="252" w:lineRule="auto"/>
      </w:pPr>
      <w:r>
        <w:rPr>
          <w:rFonts w:ascii="Aptos" w:hAnsi="Aptos"/>
          <w:sz w:val="19"/>
        </w:rPr>
        <w:t>Benchmark on VJLM data, not generic leaderboard scores alone.</w:t>
      </w:r>
    </w:p>
    <w:p>
      <w:pPr>
        <w:pStyle w:val="ListBullet"/>
        <w:spacing w:after="30" w:line="252" w:lineRule="auto"/>
      </w:pPr>
      <w:r>
        <w:rPr>
          <w:rFonts w:ascii="Aptos" w:hAnsi="Aptos"/>
          <w:sz w:val="19"/>
        </w:rPr>
        <w:t>Keep the same held-out evaluation set across experiments so comparisons are fair.</w:t>
      </w:r>
    </w:p>
    <w:p>
      <w:pPr>
        <w:pStyle w:val="Heading2"/>
        <w:keepNext/>
        <w:spacing w:before="160" w:after="60"/>
      </w:pPr>
      <w:r>
        <w:t>1.3 Mandatory decision-log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Field</w:t>
            </w:r>
          </w:p>
        </w:tc>
        <w:tc>
          <w:tcPr>
            <w:tcW w:type="dxa" w:w="8136"/>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What Desktop AI records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Decision ID</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e.g., RAG-EMBED-001</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Question</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What are we selecting?</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Requirements</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VJLM-specific hard constraints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Candidates</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Shortlisted options and versions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Sources checked</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Official URLs/model cards/papers + date</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Experiment</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Dataset, hardware, parameters, commands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Metrics</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Raw measured results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Selected option</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Chosen approach/version</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Why selected</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Evidence-based reason</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Rejected options</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Why each was not selected</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Revisit trigger</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What future condition would justify re-evaluation?</w:t>
            </w:r>
          </w:p>
        </w:tc>
      </w:tr>
    </w:tbl>
    <w:p>
      <w:r/>
    </w:p>
    <w:p>
      <w:pPr>
        <w:pStyle w:val="Heading1"/>
        <w:keepNext/>
        <w:spacing w:before="240" w:after="100"/>
      </w:pPr>
      <w:r>
        <w:t>2. End-to-End Implementation Order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792"/>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Order</w:t>
            </w:r>
          </w:p>
        </w:tc>
        <w:tc>
          <w:tcPr>
            <w:tcW w:type="dxa" w:w="4032"/>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Stage</w:t>
            </w:r>
          </w:p>
        </w:tc>
        <w:tc>
          <w:tcPr>
            <w:tcW w:type="dxa" w:w="5544"/>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Why it is here</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0: Repository, reproducibility, hardware profile and decision log</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Prevents unreproducible experiments and records machine limits before model choices.</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2</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1: Scope, stakeholders, question taxonomy and access matrix</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All later data, permissions and evaluation depend on user roles and allowed questions.</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3</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2: Data inventory and Fine-tuning vs RAG classification</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Defines what knowledge belongs in weights, retrieval, both, or neither.</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4</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3: Dynamic website acquisition and synchronization pipeline</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Creates the self-maintaining source of truth before preprocessing.</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5</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4: Data preprocessing pipelines</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Produces consistent inputs for both RAG and fine-tuning.</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6</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5: VJLM benchmark/evaluation set creation</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Required before claiming one method/model is better than another.</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7</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6: Local RAG component selection and baseline</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Build retrieval before tuning the generator; many factual errors are retrieval errors.</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8</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7: Local base SLM selection</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Selects the generator using actual local constraints and benchmark questions.</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9</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8: Fine-tuning dataset creation and fine-tuning method selection</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Adapts the selected model only after the task and benchmark are stable.</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10</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9: Quantization and local inference runtime</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Compresses the tuned model and validates quality/speed trade-offs.</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11</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10: Authentication and RBAC</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Creates the security boundary before restricted data is ever introduced.</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12</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11: Role-aware retrieval</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Combines role permissions with retrieval metadata.</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13</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12: Prompt builder and response policy</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Controls how retrieved evidence and role instructions are presented to the SLM.</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14</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13: UI and end-to-end integration</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Integrates the backend into the student/faculty experience.</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15</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14: Final evaluation, ablation and security testing</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Measures the whole system and isolates which components actually add value.</w:t>
            </w:r>
          </w:p>
        </w:tc>
      </w:tr>
      <w:tr>
        <w:tc>
          <w:tcPr>
            <w:tcW w:type="dxa" w:w="79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16</w:t>
            </w:r>
          </w:p>
        </w:tc>
        <w:tc>
          <w:tcPr>
            <w:tcW w:type="dxa" w:w="40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Phase 15: Maintenance, scheduled refresh and regression monitoring</w:t>
            </w:r>
          </w:p>
        </w:tc>
        <w:tc>
          <w:tcPr>
            <w:tcW w:type="dxa" w:w="5544"/>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Makes the system self-maintaining after the current team graduates.</w:t>
            </w:r>
          </w:p>
        </w:tc>
      </w:tr>
    </w:tbl>
    <w:p>
      <w:r/>
    </w:p>
    <w:p>
      <w:pPr>
        <w:pStyle w:val="Heading1"/>
        <w:keepNext/>
        <w:spacing w:before="240" w:after="100"/>
      </w:pPr>
      <w:r>
        <w:t>3. Phase 0 — Project Foundation Before Model Work</w:t>
      </w:r>
    </w:p>
    <w:p>
      <w:pPr>
        <w:pStyle w:val="Heading2"/>
        <w:keepNext/>
        <w:spacing w:before="160" w:after="60"/>
      </w:pPr>
      <w:r>
        <w:t>Goals</w:t>
      </w:r>
    </w:p>
    <w:p>
      <w:pPr>
        <w:pStyle w:val="ListBullet"/>
        <w:spacing w:after="30" w:line="252" w:lineRule="auto"/>
      </w:pPr>
      <w:r>
        <w:rPr>
          <w:rFonts w:ascii="Aptos" w:hAnsi="Aptos"/>
          <w:sz w:val="19"/>
        </w:rPr>
        <w:t>Record the exact target hardware: CPU, RAM, free disk, OS and whether any training GPU is available separately.</w:t>
      </w:r>
    </w:p>
    <w:p>
      <w:pPr>
        <w:pStyle w:val="ListBullet"/>
        <w:spacing w:after="30" w:line="252" w:lineRule="auto"/>
      </w:pPr>
      <w:r>
        <w:rPr>
          <w:rFonts w:ascii="Aptos" w:hAnsi="Aptos"/>
          <w:sz w:val="19"/>
        </w:rPr>
        <w:t>Create a clean repository with reproducible environments and experiment outputs.</w:t>
      </w:r>
    </w:p>
    <w:p>
      <w:pPr>
        <w:pStyle w:val="ListBullet"/>
        <w:spacing w:after="30" w:line="252" w:lineRule="auto"/>
      </w:pPr>
      <w:r>
        <w:rPr>
          <w:rFonts w:ascii="Aptos" w:hAnsi="Aptos"/>
          <w:sz w:val="19"/>
        </w:rPr>
        <w:t>Create DECISIONS.md, EXPERIMENTS/, DATA_CATALOG/, EVAL/, INGESTION/, RAG/, TRAINING/, APP/ and DOCS/.</w:t>
      </w:r>
    </w:p>
    <w:p>
      <w:pPr>
        <w:pStyle w:val="ListBullet"/>
        <w:spacing w:after="30" w:line="252" w:lineRule="auto"/>
      </w:pPr>
      <w:r>
        <w:rPr>
          <w:rFonts w:ascii="Aptos" w:hAnsi="Aptos"/>
          <w:sz w:val="19"/>
        </w:rPr>
        <w:t>Use versioned configuration files instead of hard-coding paths or model names.</w:t>
      </w:r>
    </w:p>
    <w:p>
      <w:pPr>
        <w:pStyle w:val="Heading2"/>
        <w:keepNext/>
        <w:spacing w:before="160" w:after="60"/>
      </w:pPr>
      <w:r>
        <w:t>Recommended project skeleton</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VJLM/</w:t>
              <w:br/>
              <w:t xml:space="preserve">  README.md</w:t>
              <w:br/>
              <w:t xml:space="preserve">  DECISIONS.md</w:t>
              <w:br/>
              <w:t xml:space="preserve">  configs/</w:t>
              <w:br/>
              <w:t xml:space="preserve">  data_catalog/</w:t>
              <w:br/>
              <w:t xml:space="preserve">  ingestion/</w:t>
              <w:br/>
              <w:t xml:space="preserve">    sources.yaml</w:t>
              <w:br/>
              <w:t xml:space="preserve">    crawler/</w:t>
              <w:br/>
              <w:t xml:space="preserve">    snapshots/</w:t>
              <w:br/>
              <w:t xml:space="preserve">    state/</w:t>
              <w:br/>
              <w:t xml:space="preserve">  preprocessing/</w:t>
              <w:br/>
              <w:t xml:space="preserve">  rag/</w:t>
              <w:br/>
              <w:t xml:space="preserve">  evaluation/</w:t>
              <w:br/>
              <w:t xml:space="preserve">    questions.jsonl</w:t>
              <w:br/>
              <w:t xml:space="preserve">    gold_sources.jsonl</w:t>
              <w:br/>
              <w:t xml:space="preserve">  training/</w:t>
              <w:br/>
              <w:t xml:space="preserve">  quantization/</w:t>
              <w:br/>
              <w:t xml:space="preserve">  auth/</w:t>
              <w:br/>
              <w:t xml:space="preserve">  app/</w:t>
              <w:br/>
              <w:t xml:space="preserve">  experiments/</w:t>
              <w:br/>
              <w:t xml:space="preserve">  docs/</w:t>
            </w:r>
          </w:p>
        </w:tc>
      </w:tr>
    </w:tbl>
    <w:p>
      <w:pPr>
        <w:pStyle w:val="Heading2"/>
        <w:keepNext/>
        <w:spacing w:before="160" w:after="60"/>
      </w:pPr>
      <w:r>
        <w:t>Gate to continue</w:t>
      </w:r>
    </w:p>
    <w:tbl>
      <w:tblPr>
        <w:tblW w:type="auto" w:w="0"/>
        <w:jc w:val="center"/>
        <w:tblLook w:firstColumn="1" w:firstRow="1" w:lastColumn="0" w:lastRow="0" w:noHBand="0" w:noVBand="1" w:val="04A0"/>
      </w:tblPr>
      <w:tblGrid>
        <w:gridCol w:w="10282"/>
      </w:tblGrid>
      <w:tr>
        <w:trPr>
          <w:cantSplit/>
        </w:trPr>
        <w:tc>
          <w:tcPr>
            <w:tcW w:type="dxa" w:w="10282"/>
            <w:shd w:fill="FFF4D9"/>
            <w:tcMar>
              <w:top w:w="100" w:type="dxa"/>
              <w:start w:w="140" w:type="dxa"/>
              <w:bottom w:w="100" w:type="dxa"/>
              <w:end w:w="140" w:type="dxa"/>
            </w:tcMar>
            <w:tcBorders>
              <w:top w:val="single" w:sz="8" w:color="A66A00"/>
              <w:left w:val="single" w:sz="8" w:color="A66A00"/>
              <w:bottom w:val="single" w:sz="8" w:color="A66A00"/>
              <w:right w:val="single" w:sz="8" w:color="A66A00"/>
            </w:tcBorders>
          </w:tcPr>
          <w:p>
            <w:pPr>
              <w:spacing w:after="40"/>
            </w:pPr>
            <w:r>
              <w:rPr>
                <w:rFonts w:ascii="Aptos" w:hAnsi="Aptos"/>
                <w:b/>
                <w:color w:val="16324F"/>
                <w:sz w:val="21"/>
              </w:rPr>
              <w:t>Phase 0 gate</w:t>
            </w:r>
          </w:p>
          <w:p>
            <w:pPr>
              <w:spacing w:after="0" w:line="252" w:lineRule="auto"/>
            </w:pPr>
            <w:r>
              <w:rPr>
                <w:rFonts w:ascii="Aptos" w:hAnsi="Aptos"/>
                <w:sz w:val="19"/>
              </w:rPr>
              <w:t>Desktop AI may continue only when hardware constraints are written down, the project starts cleanly from one documented command, and decisions/experiments have a place to be recorded.</w:t>
            </w:r>
          </w:p>
        </w:tc>
      </w:tr>
    </w:tbl>
    <w:p>
      <w:pPr>
        <w:pStyle w:val="Heading1"/>
        <w:keepNext/>
        <w:spacing w:before="240" w:after="100"/>
      </w:pPr>
      <w:r>
        <w:t>4. Phase 1 — Scope, Stakeholders, Questions and Access</w:t>
      </w:r>
    </w:p>
    <w:p>
      <w:pPr>
        <w:spacing w:after="80" w:line="259" w:lineRule="auto"/>
      </w:pPr>
      <w:r>
        <w:rPr>
          <w:rFonts w:ascii="Aptos" w:hAnsi="Aptos"/>
          <w:sz w:val="20"/>
        </w:rPr>
        <w:t>Initial VJLM scope: students and faculty. Use public website data first. Future login-only or internal data can be added later without changing the fundamental architecture.</w:t>
      </w:r>
    </w:p>
    <w:p>
      <w:pPr>
        <w:pStyle w:val="Heading2"/>
        <w:keepNext/>
        <w:spacing w:before="160" w:after="60"/>
      </w:pPr>
      <w:r>
        <w:t>Build a role × question × data matrix</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080"/>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Role</w:t>
            </w:r>
          </w:p>
        </w:tc>
        <w:tc>
          <w:tcPr>
            <w:tcW w:type="dxa" w:w="1584"/>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Question family</w:t>
            </w:r>
          </w:p>
        </w:tc>
        <w:tc>
          <w:tcPr>
            <w:tcW w:type="dxa" w:w="3096"/>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Example</w:t>
            </w:r>
          </w:p>
        </w:tc>
        <w:tc>
          <w:tcPr>
            <w:tcW w:type="dxa" w:w="2376"/>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Source</w:t>
            </w:r>
          </w:p>
        </w:tc>
        <w:tc>
          <w:tcPr>
            <w:tcW w:type="dxa" w:w="2088"/>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Access rule</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Student</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Academics</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What is the syllabus for this course?</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Public website/PDF</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Allow</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Student</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Regulations</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What is the attendance/detention rule?</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Public regulations</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Allow</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Student</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Examinations</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When is the published exam schedule?</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Public examination page</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Allow</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Student</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Faculty/Department</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Who is the HoD / what are faculty areas?</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Public department pages</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Allow</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Faculty</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Curriculum</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What regulation/syllabus applies to this batch?</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Public academic documents</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Allow</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Faculty</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Academic process</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What published evaluation rules apply?</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Public regulations</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Allow</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Any initial user</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Personal marks/attendance</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What are my internal marks?</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Login-only</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Out of Phase 1</w:t>
            </w:r>
          </w:p>
        </w:tc>
      </w:tr>
      <w:tr>
        <w:tc>
          <w:tcPr>
            <w:tcW w:type="dxa" w:w="108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Any initial user</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Private internal data</w:t>
            </w:r>
          </w:p>
        </w:tc>
        <w:tc>
          <w:tcPr>
            <w:tcW w:type="dxa" w:w="309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Show unpublished staff/student information</w:t>
            </w:r>
          </w:p>
        </w:tc>
        <w:tc>
          <w:tcPr>
            <w:tcW w:type="dxa" w:w="2376"/>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Internal</w:t>
            </w:r>
          </w:p>
        </w:tc>
        <w:tc>
          <w:tcPr>
            <w:tcW w:type="dxa" w:w="208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Deny / not ingested</w:t>
            </w:r>
          </w:p>
        </w:tc>
      </w:tr>
    </w:tbl>
    <w:p>
      <w:pPr>
        <w:pStyle w:val="Heading2"/>
        <w:keepNext/>
        <w:spacing w:before="160" w:after="60"/>
      </w:pPr>
      <w:r>
        <w:t>Desktop AI tasks</w:t>
      </w:r>
    </w:p>
    <w:p>
      <w:pPr>
        <w:pStyle w:val="ListBullet"/>
        <w:spacing w:after="30" w:line="252" w:lineRule="auto"/>
      </w:pPr>
      <w:r>
        <w:rPr>
          <w:rFonts w:ascii="Aptos" w:hAnsi="Aptos"/>
          <w:sz w:val="19"/>
        </w:rPr>
        <w:t>Use the VNRVJIET website with the inbuilt browser to verify which public categories actually exist and capture the canonical URLs.</w:t>
      </w:r>
    </w:p>
    <w:p>
      <w:pPr>
        <w:pStyle w:val="ListBullet"/>
        <w:spacing w:after="30" w:line="252" w:lineRule="auto"/>
      </w:pPr>
      <w:r>
        <w:rPr>
          <w:rFonts w:ascii="Aptos" w:hAnsi="Aptos"/>
          <w:sz w:val="19"/>
        </w:rPr>
        <w:t>Create a question taxonomy from real student/faculty use cases, not from page titles alone.</w:t>
      </w:r>
    </w:p>
    <w:p>
      <w:pPr>
        <w:pStyle w:val="ListBullet"/>
        <w:spacing w:after="30" w:line="252" w:lineRule="auto"/>
      </w:pPr>
      <w:r>
        <w:rPr>
          <w:rFonts w:ascii="Aptos" w:hAnsi="Aptos"/>
          <w:sz w:val="19"/>
        </w:rPr>
        <w:t>Mark every category as PUBLIC, FUTURE_LOGIN, INTERNAL_RESTRICTED or OUT_OF_SCOPE.</w:t>
      </w:r>
    </w:p>
    <w:p>
      <w:pPr>
        <w:pStyle w:val="ListBullet"/>
        <w:spacing w:after="30" w:line="252" w:lineRule="auto"/>
      </w:pPr>
      <w:r>
        <w:rPr>
          <w:rFonts w:ascii="Aptos" w:hAnsi="Aptos"/>
          <w:sz w:val="19"/>
        </w:rPr>
        <w:t>Do not crawl authenticated/private areas during Phase 1.</w:t>
      </w:r>
    </w:p>
    <w:p>
      <w:pPr>
        <w:pStyle w:val="Heading2"/>
        <w:keepNext/>
        <w:spacing w:before="160" w:after="60"/>
      </w:pPr>
      <w:r>
        <w:t>Deliverables</w:t>
      </w:r>
    </w:p>
    <w:p>
      <w:pPr>
        <w:pStyle w:val="ListBullet"/>
        <w:spacing w:after="30" w:line="252" w:lineRule="auto"/>
      </w:pPr>
      <w:r>
        <w:rPr>
          <w:rFonts w:ascii="Aptos" w:hAnsi="Aptos"/>
          <w:sz w:val="19"/>
        </w:rPr>
        <w:t>scope.md</w:t>
      </w:r>
    </w:p>
    <w:p>
      <w:pPr>
        <w:pStyle w:val="ListBullet"/>
        <w:spacing w:after="30" w:line="252" w:lineRule="auto"/>
      </w:pPr>
      <w:r>
        <w:rPr>
          <w:rFonts w:ascii="Aptos" w:hAnsi="Aptos"/>
          <w:sz w:val="19"/>
        </w:rPr>
        <w:t>role_access_matrix.csv</w:t>
      </w:r>
    </w:p>
    <w:p>
      <w:pPr>
        <w:pStyle w:val="ListBullet"/>
        <w:spacing w:after="30" w:line="252" w:lineRule="auto"/>
      </w:pPr>
      <w:r>
        <w:rPr>
          <w:rFonts w:ascii="Aptos" w:hAnsi="Aptos"/>
          <w:sz w:val="19"/>
        </w:rPr>
        <w:t>question_taxonomy.json</w:t>
      </w:r>
    </w:p>
    <w:p>
      <w:pPr>
        <w:pStyle w:val="ListBullet"/>
        <w:spacing w:after="30" w:line="252" w:lineRule="auto"/>
      </w:pPr>
      <w:r>
        <w:rPr>
          <w:rFonts w:ascii="Aptos" w:hAnsi="Aptos"/>
          <w:sz w:val="19"/>
        </w:rPr>
        <w:t>public_source_catalog.csv</w:t>
      </w:r>
    </w:p>
    <w:p>
      <w:r/>
    </w:p>
    <w:p>
      <w:pPr>
        <w:pStyle w:val="Heading1"/>
        <w:keepNext/>
        <w:spacing w:before="240" w:after="100"/>
      </w:pPr>
      <w:r>
        <w:t>5. Phase 2 — Decide What Goes Into Fine-Tuning vs RAG</w:t>
      </w:r>
    </w:p>
    <w:tbl>
      <w:tblPr>
        <w:tblW w:type="auto" w:w="0"/>
        <w:jc w:val="center"/>
        <w:tblLook w:firstColumn="1" w:firstRow="1" w:lastColumn="0" w:lastRow="0" w:noHBand="0" w:noVBand="1" w:val="04A0"/>
      </w:tblPr>
      <w:tblGrid>
        <w:gridCol w:w="10282"/>
      </w:tblGrid>
      <w:tr>
        <w:trPr>
          <w:cantSplit/>
        </w:trPr>
        <w:tc>
          <w:tcPr>
            <w:tcW w:type="dxa" w:w="10282"/>
            <w:shd w:fill="E8F5F4"/>
            <w:tcMar>
              <w:top w:w="100" w:type="dxa"/>
              <w:start w:w="140" w:type="dxa"/>
              <w:bottom w:w="100" w:type="dxa"/>
              <w:end w:w="140" w:type="dxa"/>
            </w:tcMar>
            <w:tcBorders>
              <w:top w:val="single" w:sz="8" w:color="1F7A8C"/>
              <w:left w:val="single" w:sz="8" w:color="1F7A8C"/>
              <w:bottom w:val="single" w:sz="8" w:color="1F7A8C"/>
              <w:right w:val="single" w:sz="8" w:color="1F7A8C"/>
            </w:tcBorders>
          </w:tcPr>
          <w:p>
            <w:pPr>
              <w:spacing w:after="40"/>
            </w:pPr>
            <w:r>
              <w:rPr>
                <w:rFonts w:ascii="Aptos" w:hAnsi="Aptos"/>
                <w:b/>
                <w:color w:val="16324F"/>
                <w:sz w:val="21"/>
              </w:rPr>
              <w:t>Decision rule</w:t>
            </w:r>
          </w:p>
          <w:p>
            <w:pPr>
              <w:spacing w:after="0" w:line="252" w:lineRule="auto"/>
            </w:pPr>
            <w:r>
              <w:rPr>
                <w:rFonts w:ascii="Aptos" w:hAnsi="Aptos"/>
                <w:sz w:val="19"/>
              </w:rPr>
              <w:t>Fine-tuning is for stable domain knowledge + VNR terminology + desired answer behavior. RAG is for authoritative source material, detailed facts and anything that can change. Stable institutional facts may appear in both; frequently changing facts should not be embedded into model weights as the primary source of truth.</w:t>
            </w:r>
          </w:p>
        </w:tc>
      </w:tr>
    </w:tbl>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3312"/>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Data type</w:t>
            </w:r>
          </w:p>
        </w:tc>
        <w:tc>
          <w:tcPr>
            <w:tcW w:type="dxa" w:w="1584"/>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Fine-tuning</w:t>
            </w:r>
          </w:p>
        </w:tc>
        <w:tc>
          <w:tcPr>
            <w:tcW w:type="dxa" w:w="1512"/>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RAG</w:t>
            </w:r>
          </w:p>
        </w:tc>
        <w:tc>
          <w:tcPr>
            <w:tcW w:type="dxa" w:w="3672"/>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Reason</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Stable college identity/history (e.g., long-lived founding/history facts)</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 carefully</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Makes the model domain-native while retaining an authoritative source.</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VNR terminology and common academic language</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Optional/supporting</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Improves domain understanding and answer style.</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Role-specific response behavior</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No</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Behavior belongs in instructions/training, not retrieval.</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Academic regulations/policies</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Representative QA only</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 full source</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Detailed authoritative text may be revised.</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Syllabi/curriculum</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Small examples/terminology</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Large structured documents and revisions belong in retrieval.</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Academic calendars/exam schedules</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No</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Time-sensitive.</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Faculty names/designations</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Generally no</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Can change.</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Placement statistics/events/news</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No</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Frequently changes.</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Public department information</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Stable concepts only</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Yes</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Mix of stable and changing details.</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Login-only personal data</w:t>
            </w:r>
          </w:p>
        </w:tc>
        <w:tc>
          <w:tcPr>
            <w:tcW w:type="dxa" w:w="1584"/>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No in Phase 1</w:t>
            </w:r>
          </w:p>
        </w:tc>
        <w:tc>
          <w:tcPr>
            <w:tcW w:type="dxa" w:w="15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No in Phase 1</w:t>
            </w:r>
          </w:p>
        </w:tc>
        <w:tc>
          <w:tcPr>
            <w:tcW w:type="dxa" w:w="36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Not part of the initial public-data build.</w:t>
            </w:r>
          </w:p>
        </w:tc>
      </w:tr>
    </w:tbl>
    <w:p>
      <w:pPr>
        <w:pStyle w:val="Heading2"/>
        <w:keepNext/>
        <w:spacing w:before="160" w:after="60"/>
      </w:pPr>
      <w:r>
        <w:t>Mandatory catalog fields</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source_id, canonical_url, category, department, document_type,</w:t>
              <w:br/>
              <w:t>audience, visibility, update_frequency, parser_type, authority_level,</w:t>
              <w:br/>
              <w:t>fine_tune_usage, rag_usage, last_seen, last_changed, content_hash,</w:t>
              <w:br/>
              <w:t>document_version, active</w:t>
            </w:r>
          </w:p>
        </w:tc>
      </w:tr>
    </w:tbl>
    <w:p>
      <w:pPr>
        <w:pStyle w:val="Heading2"/>
        <w:keepNext/>
        <w:spacing w:before="160" w:after="60"/>
      </w:pPr>
      <w:r>
        <w:t>Gate to continue</w:t>
      </w:r>
    </w:p>
    <w:tbl>
      <w:tblPr>
        <w:tblW w:type="auto" w:w="0"/>
        <w:jc w:val="center"/>
        <w:tblLook w:firstColumn="1" w:firstRow="1" w:lastColumn="0" w:lastRow="0" w:noHBand="0" w:noVBand="1" w:val="04A0"/>
      </w:tblPr>
      <w:tblGrid>
        <w:gridCol w:w="10282"/>
      </w:tblGrid>
      <w:tr>
        <w:trPr>
          <w:cantSplit/>
        </w:trPr>
        <w:tc>
          <w:tcPr>
            <w:tcW w:type="dxa" w:w="10282"/>
            <w:shd w:fill="FFF4D9"/>
            <w:tcMar>
              <w:top w:w="100" w:type="dxa"/>
              <w:start w:w="140" w:type="dxa"/>
              <w:bottom w:w="100" w:type="dxa"/>
              <w:end w:w="140" w:type="dxa"/>
            </w:tcMar>
            <w:tcBorders>
              <w:top w:val="single" w:sz="8" w:color="A66A00"/>
              <w:left w:val="single" w:sz="8" w:color="A66A00"/>
              <w:bottom w:val="single" w:sz="8" w:color="A66A00"/>
              <w:right w:val="single" w:sz="8" w:color="A66A00"/>
            </w:tcBorders>
          </w:tcPr>
          <w:p>
            <w:pPr>
              <w:spacing w:after="40"/>
            </w:pPr>
            <w:r>
              <w:rPr>
                <w:rFonts w:ascii="Aptos" w:hAnsi="Aptos"/>
                <w:b/>
                <w:color w:val="16324F"/>
                <w:sz w:val="21"/>
              </w:rPr>
              <w:t>Phase 2 gate</w:t>
            </w:r>
          </w:p>
          <w:p>
            <w:pPr>
              <w:spacing w:after="0" w:line="252" w:lineRule="auto"/>
            </w:pPr>
            <w:r>
              <w:rPr>
                <w:rFonts w:ascii="Aptos" w:hAnsi="Aptos"/>
                <w:sz w:val="19"/>
              </w:rPr>
              <w:t>Every source category must be classified as fine-tune, RAG, both, or neither, with a reason. Do not begin mass crawling before this catalog exists.</w:t>
            </w:r>
          </w:p>
        </w:tc>
      </w:tr>
    </w:tbl>
    <w:p>
      <w:r/>
    </w:p>
    <w:p>
      <w:pPr>
        <w:pStyle w:val="Heading1"/>
        <w:keepNext/>
        <w:spacing w:before="240" w:after="100"/>
      </w:pPr>
      <w:r>
        <w:t>6. Phase 3 — Dynamic Website Data Pipeline</w:t>
      </w:r>
    </w:p>
    <w:p>
      <w:pPr>
        <w:spacing w:after="80" w:line="259" w:lineRule="auto"/>
      </w:pPr>
      <w:r>
        <w:rPr>
          <w:rFonts w:ascii="Aptos" w:hAnsi="Aptos"/>
          <w:sz w:val="20"/>
        </w:rPr>
        <w:t>This stage makes VJLM self-maintaining. It must keep the knowledge base current even after the original student team leaves. It must also survive ordinary website redesigns without treating every UI change as a knowledge change.</w:t>
      </w:r>
    </w:p>
    <w:p>
      <w:pPr>
        <w:pStyle w:val="Heading2"/>
        <w:keepNext/>
        <w:spacing w:before="160" w:after="60"/>
      </w:pPr>
      <w:r>
        <w:t>6.1 Methods to compare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944"/>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Method</w:t>
            </w:r>
          </w:p>
        </w:tc>
        <w:tc>
          <w:tcPr>
            <w:tcW w:type="dxa" w:w="252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Strength</w:t>
            </w:r>
          </w:p>
        </w:tc>
        <w:tc>
          <w:tcPr>
            <w:tcW w:type="dxa" w:w="2952"/>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Weakness</w:t>
            </w:r>
          </w:p>
        </w:tc>
        <w:tc>
          <w:tcPr>
            <w:tcW w:type="dxa" w:w="288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VJLM use</w:t>
            </w:r>
          </w:p>
        </w:tc>
      </w:tr>
      <w:tr>
        <w:tc>
          <w:tcPr>
            <w:tcW w:type="dxa" w:w="194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Fixed URL list</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Very simple and controlled</w:t>
            </w:r>
          </w:p>
        </w:tc>
        <w:tc>
          <w:tcPr>
            <w:tcW w:type="dxa" w:w="295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Misses newly added child pages/documents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Useful baseline only</w:t>
            </w:r>
          </w:p>
        </w:tc>
      </w:tr>
      <w:tr>
        <w:tc>
          <w:tcPr>
            <w:tcW w:type="dxa" w:w="194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Sitemap-first</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Cheap discovery when sitemap is maintained</w:t>
            </w:r>
          </w:p>
        </w:tc>
        <w:tc>
          <w:tcPr>
            <w:tcW w:type="dxa" w:w="295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May be absent/incomplete</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Discovery signal</w:t>
            </w:r>
          </w:p>
        </w:tc>
      </w:tr>
      <w:tr>
        <w:tc>
          <w:tcPr>
            <w:tcW w:type="dxa" w:w="194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Targeted recursive crawler</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Finds new pages under approved sections</w:t>
            </w:r>
          </w:p>
        </w:tc>
        <w:tc>
          <w:tcPr>
            <w:tcW w:type="dxa" w:w="295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Needs careful scope rules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Strong fit for known VNR categories</w:t>
            </w:r>
          </w:p>
        </w:tc>
      </w:tr>
      <w:tr>
        <w:tc>
          <w:tcPr>
            <w:tcW w:type="dxa" w:w="194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Full same-domain crawler</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High coverage</w:t>
            </w:r>
          </w:p>
        </w:tc>
        <w:tc>
          <w:tcPr>
            <w:tcW w:type="dxa" w:w="295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Noisy, slower, may ingest irrelevant pages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Not preferred for Phase 1</w:t>
            </w:r>
          </w:p>
        </w:tc>
      </w:tr>
      <w:tr>
        <w:tc>
          <w:tcPr>
            <w:tcW w:type="dxa" w:w="194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Headless-browser crawler</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Handles JavaScript-rendered content</w:t>
            </w:r>
          </w:p>
        </w:tc>
        <w:tc>
          <w:tcPr>
            <w:tcW w:type="dxa" w:w="295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Heavier and slower</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Fallback for pages normal HTTP cannot extract</w:t>
            </w:r>
          </w:p>
        </w:tc>
      </w:tr>
      <w:tr>
        <w:tc>
          <w:tcPr>
            <w:tcW w:type="dxa" w:w="194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Hybrid targeted pipeline</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Combines registry + sitemap + recursive discovery + browser fallback</w:t>
            </w:r>
          </w:p>
        </w:tc>
        <w:tc>
          <w:tcPr>
            <w:tcW w:type="dxa" w:w="295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More engineering than one method</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Primary candidate to benchmark</w:t>
            </w:r>
          </w:p>
        </w:tc>
      </w:tr>
    </w:tbl>
    <w:p>
      <w:pPr>
        <w:pStyle w:val="Heading2"/>
        <w:keepNext/>
        <w:spacing w:before="160" w:after="60"/>
      </w:pPr>
      <w:r>
        <w:t>6.2 Recommended experiment before selection</w:t>
      </w:r>
    </w:p>
    <w:p>
      <w:pPr>
        <w:pStyle w:val="ListBullet"/>
        <w:spacing w:after="30" w:line="252" w:lineRule="auto"/>
      </w:pPr>
      <w:r>
        <w:rPr>
          <w:rFonts w:ascii="Aptos" w:hAnsi="Aptos"/>
          <w:sz w:val="19"/>
        </w:rPr>
        <w:t>Choose a representative mini-corpus: academics, regulations, department/faculty page, examinations, placements and at least several PDFs.</w:t>
      </w:r>
    </w:p>
    <w:p>
      <w:pPr>
        <w:pStyle w:val="ListBullet"/>
        <w:spacing w:after="30" w:line="252" w:lineRule="auto"/>
      </w:pPr>
      <w:r>
        <w:rPr>
          <w:rFonts w:ascii="Aptos" w:hAnsi="Aptos"/>
          <w:sz w:val="19"/>
        </w:rPr>
        <w:t>Run each realistic discovery approach against the same allowed sections.</w:t>
      </w:r>
    </w:p>
    <w:p>
      <w:pPr>
        <w:pStyle w:val="ListBullet"/>
        <w:spacing w:after="30" w:line="252" w:lineRule="auto"/>
      </w:pPr>
      <w:r>
        <w:rPr>
          <w:rFonts w:ascii="Aptos" w:hAnsi="Aptos"/>
          <w:sz w:val="19"/>
        </w:rPr>
        <w:t>Measure relevant-page recall, irrelevant-page rate, run time, number of failures and number of manual rules required.</w:t>
      </w:r>
    </w:p>
    <w:p>
      <w:pPr>
        <w:pStyle w:val="ListBullet"/>
        <w:spacing w:after="30" w:line="252" w:lineRule="auto"/>
      </w:pPr>
      <w:r>
        <w:rPr>
          <w:rFonts w:ascii="Aptos" w:hAnsi="Aptos"/>
          <w:sz w:val="19"/>
        </w:rPr>
        <w:t>Simulate a UI change by modifying HTML structure while keeping the visible content the same; the system should not re-embed unchanged knowledge.</w:t>
      </w:r>
    </w:p>
    <w:p>
      <w:pPr>
        <w:pStyle w:val="ListBullet"/>
        <w:spacing w:after="30" w:line="252" w:lineRule="auto"/>
      </w:pPr>
      <w:r>
        <w:rPr>
          <w:rFonts w:ascii="Aptos" w:hAnsi="Aptos"/>
          <w:sz w:val="19"/>
        </w:rPr>
        <w:t>Simulate a content change, new PDF and deleted page; the system must detect all three correctly.</w:t>
      </w:r>
    </w:p>
    <w:p>
      <w:pPr>
        <w:pStyle w:val="Heading2"/>
        <w:keepNext/>
        <w:spacing w:before="160" w:after="60"/>
      </w:pPr>
      <w:r>
        <w:t>6.3 VJLM dynamic pipeline design</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Approved source registry</w:t>
              <w:br/>
              <w:t xml:space="preserve">        ↓</w:t>
              <w:br/>
              <w:t>URL discovery (targeted links + sitemap where available)</w:t>
              <w:br/>
              <w:t xml:space="preserve">        ↓</w:t>
              <w:br/>
              <w:t>Fetch (HTTP first; local headless-browser fallback when required)</w:t>
              <w:br/>
              <w:t xml:space="preserve">        ↓</w:t>
              <w:br/>
              <w:t>Store raw snapshot + headers + source metadata</w:t>
              <w:br/>
              <w:t xml:space="preserve">        ↓</w:t>
              <w:br/>
              <w:t>Extract main content / PDFs / tables</w:t>
              <w:br/>
              <w:t xml:space="preserve">        ↓</w:t>
              <w:br/>
              <w:t>Normalize content</w:t>
              <w:br/>
              <w:t xml:space="preserve">        ↓</w:t>
              <w:br/>
              <w:t>Fast change check:</w:t>
              <w:br/>
              <w:t xml:space="preserve">  1) ETag / Last-Modified when reliable</w:t>
              <w:br/>
              <w:t xml:space="preserve">  2) normalized-content hash as the real content fingerprint</w:t>
              <w:br/>
              <w:t xml:space="preserve">        ↓</w:t>
              <w:br/>
              <w:t>unchanged → skip</w:t>
              <w:br/>
              <w:t>new/changed → preprocess → chunk → embed → upsert</w:t>
              <w:br/>
              <w:t>missing/deleted → mark inactive → remove/retire old chunks</w:t>
              <w:br/>
              <w:t xml:space="preserve">        ↓</w:t>
              <w:br/>
              <w:t>Version/history + logs + last-success state</w:t>
            </w:r>
          </w:p>
        </w:tc>
      </w:tr>
    </w:tbl>
    <w:p>
      <w:pPr>
        <w:pStyle w:val="Heading2"/>
        <w:keepNext/>
        <w:spacing w:before="160" w:after="60"/>
      </w:pPr>
      <w:r>
        <w:t>6.4 Robustness rules</w:t>
      </w:r>
    </w:p>
    <w:p>
      <w:pPr>
        <w:pStyle w:val="ListBullet"/>
        <w:spacing w:after="30" w:line="252" w:lineRule="auto"/>
      </w:pPr>
      <w:r>
        <w:rPr>
          <w:rFonts w:ascii="Aptos" w:hAnsi="Aptos"/>
          <w:sz w:val="19"/>
        </w:rPr>
        <w:t>Hash normalized information, not raw HTML alone; otherwise UI redesigns look like knowledge changes.</w:t>
      </w:r>
    </w:p>
    <w:p>
      <w:pPr>
        <w:pStyle w:val="ListBullet"/>
        <w:spacing w:after="30" w:line="252" w:lineRule="auto"/>
      </w:pPr>
      <w:r>
        <w:rPr>
          <w:rFonts w:ascii="Aptos" w:hAnsi="Aptos"/>
          <w:sz w:val="19"/>
        </w:rPr>
        <w:t>Keep a raw snapshot so changed parsers can reprocess old source material without refetching.</w:t>
      </w:r>
    </w:p>
    <w:p>
      <w:pPr>
        <w:pStyle w:val="ListBullet"/>
        <w:spacing w:after="30" w:line="252" w:lineRule="auto"/>
      </w:pPr>
      <w:r>
        <w:rPr>
          <w:rFonts w:ascii="Aptos" w:hAnsi="Aptos"/>
          <w:sz w:val="19"/>
        </w:rPr>
        <w:t>Use canonical URLs and stable source IDs so moved/renamed pages can be reconciled.</w:t>
      </w:r>
    </w:p>
    <w:p>
      <w:pPr>
        <w:pStyle w:val="ListBullet"/>
        <w:spacing w:after="30" w:line="252" w:lineRule="auto"/>
      </w:pPr>
      <w:r>
        <w:rPr>
          <w:rFonts w:ascii="Aptos" w:hAnsi="Aptos"/>
          <w:sz w:val="19"/>
        </w:rPr>
        <w:t>Do not rely only on one CSS selector. Prefer semantic/structural extraction with selector fallbacks.</w:t>
      </w:r>
    </w:p>
    <w:p>
      <w:pPr>
        <w:pStyle w:val="ListBullet"/>
        <w:spacing w:after="30" w:line="252" w:lineRule="auto"/>
      </w:pPr>
      <w:r>
        <w:rPr>
          <w:rFonts w:ascii="Aptos" w:hAnsi="Aptos"/>
          <w:sz w:val="19"/>
        </w:rPr>
        <w:t>Treat PDFs and HTML as different document types with different parsers.</w:t>
      </w:r>
    </w:p>
    <w:p>
      <w:pPr>
        <w:pStyle w:val="ListBullet"/>
        <w:spacing w:after="30" w:line="252" w:lineRule="auto"/>
      </w:pPr>
      <w:r>
        <w:rPr>
          <w:rFonts w:ascii="Aptos" w:hAnsi="Aptos"/>
          <w:sz w:val="19"/>
        </w:rPr>
        <w:t>Track new, changed, unchanged and disappeared sources explicitly.</w:t>
      </w:r>
    </w:p>
    <w:p>
      <w:pPr>
        <w:pStyle w:val="ListBullet"/>
        <w:spacing w:after="30" w:line="252" w:lineRule="auto"/>
      </w:pPr>
      <w:r>
        <w:rPr>
          <w:rFonts w:ascii="Aptos" w:hAnsi="Aptos"/>
          <w:sz w:val="19"/>
        </w:rPr>
        <w:t>Log parser failures and content-size anomalies so silent empty-page ingestion does not poison the knowledge base.</w:t>
      </w:r>
    </w:p>
    <w:p>
      <w:pPr>
        <w:pStyle w:val="ListBullet"/>
        <w:spacing w:after="30" w:line="252" w:lineRule="auto"/>
      </w:pPr>
      <w:r>
        <w:rPr>
          <w:rFonts w:ascii="Aptos" w:hAnsi="Aptos"/>
          <w:sz w:val="19"/>
        </w:rPr>
        <w:t>Scheduler can run periodically; the interval should match the source's expected update frequency rather than recrawling everything equally.</w:t>
      </w:r>
    </w:p>
    <w:p>
      <w:pPr>
        <w:pStyle w:val="Heading2"/>
        <w:keepNext/>
        <w:spacing w:before="160" w:after="60"/>
      </w:pPr>
      <w:r>
        <w:t>Selection metrics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Metric</w:t>
            </w:r>
          </w:p>
        </w:tc>
        <w:tc>
          <w:tcPr>
            <w:tcW w:type="dxa" w:w="8136"/>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What good looks like</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Relevant source recall</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Finds almost all approved/new documents.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Precision</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Avoids unrelated pages/navigation noise.</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Change accuracy</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Correctly detects meaningful content changes, additions and deletions.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UI resilience</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Ordinary layout/CSS changes do not force unnecessary re-embedding.</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Failure recovery</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A failed page does not corrupt the last good knowledge.</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Maintenance effort</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Few brittle rules; clear logs.</w:t>
            </w:r>
          </w:p>
        </w:tc>
      </w:tr>
      <w:tr>
        <w:tc>
          <w:tcPr>
            <w:tcW w:type="dxa" w:w="2232"/>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Runtime</w:t>
            </w:r>
          </w:p>
        </w:tc>
        <w:tc>
          <w:tcPr>
            <w:tcW w:type="dxa" w:w="8136"/>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Acceptable for scheduled local operation.</w:t>
            </w:r>
          </w:p>
        </w:tc>
      </w:tr>
    </w:tbl>
    <w:p>
      <w:r/>
    </w:p>
    <w:p>
      <w:pPr>
        <w:pStyle w:val="Heading1"/>
        <w:keepNext/>
        <w:spacing w:before="240" w:after="100"/>
      </w:pPr>
      <w:r>
        <w:t>7. Phase 4 — Data Preprocessing: Two Separate Pipelines</w:t>
      </w:r>
    </w:p>
    <w:p>
      <w:pPr>
        <w:pStyle w:val="Heading2"/>
        <w:keepNext/>
        <w:spacing w:before="160" w:after="60"/>
      </w:pPr>
      <w:r>
        <w:t>7.1 RAG preprocessing</w:t>
      </w:r>
    </w:p>
    <w:p>
      <w:pPr>
        <w:pStyle w:val="ListBullet"/>
        <w:spacing w:after="30" w:line="252" w:lineRule="auto"/>
      </w:pPr>
      <w:r>
        <w:rPr>
          <w:rFonts w:ascii="Aptos" w:hAnsi="Aptos"/>
          <w:sz w:val="19"/>
        </w:rPr>
        <w:t>Parse document type correctly (HTML, PDF, table, downloadable document).</w:t>
      </w:r>
    </w:p>
    <w:p>
      <w:pPr>
        <w:pStyle w:val="ListBullet"/>
        <w:spacing w:after="30" w:line="252" w:lineRule="auto"/>
      </w:pPr>
      <w:r>
        <w:rPr>
          <w:rFonts w:ascii="Aptos" w:hAnsi="Aptos"/>
          <w:sz w:val="19"/>
        </w:rPr>
        <w:t>Remove navigation, headers/footers, cookie text, duplicate menus and repeated boilerplate.</w:t>
      </w:r>
    </w:p>
    <w:p>
      <w:pPr>
        <w:pStyle w:val="ListBullet"/>
        <w:spacing w:after="30" w:line="252" w:lineRule="auto"/>
      </w:pPr>
      <w:r>
        <w:rPr>
          <w:rFonts w:ascii="Aptos" w:hAnsi="Aptos"/>
          <w:sz w:val="19"/>
        </w:rPr>
        <w:t>Preserve meaningful hierarchy: page title → section → subsection → table/list.</w:t>
      </w:r>
    </w:p>
    <w:p>
      <w:pPr>
        <w:pStyle w:val="ListBullet"/>
        <w:spacing w:after="30" w:line="252" w:lineRule="auto"/>
      </w:pPr>
      <w:r>
        <w:rPr>
          <w:rFonts w:ascii="Aptos" w:hAnsi="Aptos"/>
          <w:sz w:val="19"/>
        </w:rPr>
        <w:t>Normalize whitespace and obvious formatting noise without destroying academic structure.</w:t>
      </w:r>
    </w:p>
    <w:p>
      <w:pPr>
        <w:pStyle w:val="ListBullet"/>
        <w:spacing w:after="30" w:line="252" w:lineRule="auto"/>
      </w:pPr>
      <w:r>
        <w:rPr>
          <w:rFonts w:ascii="Aptos" w:hAnsi="Aptos"/>
          <w:sz w:val="19"/>
        </w:rPr>
        <w:t>Extract metadata: source URL, title, department, document type, regulation/year, audience, visibility, updated/seen timestamps.</w:t>
      </w:r>
    </w:p>
    <w:p>
      <w:pPr>
        <w:pStyle w:val="ListBullet"/>
        <w:spacing w:after="30" w:line="252" w:lineRule="auto"/>
      </w:pPr>
      <w:r>
        <w:rPr>
          <w:rFonts w:ascii="Aptos" w:hAnsi="Aptos"/>
          <w:sz w:val="19"/>
        </w:rPr>
        <w:t>Deduplicate exact and near-duplicate content.</w:t>
      </w:r>
    </w:p>
    <w:p>
      <w:pPr>
        <w:pStyle w:val="ListBullet"/>
        <w:spacing w:after="30" w:line="252" w:lineRule="auto"/>
      </w:pPr>
      <w:r>
        <w:rPr>
          <w:rFonts w:ascii="Aptos" w:hAnsi="Aptos"/>
          <w:sz w:val="19"/>
        </w:rPr>
        <w:t>Chunk using candidate strategies that preserve section meaning.</w:t>
      </w:r>
    </w:p>
    <w:p>
      <w:pPr>
        <w:pStyle w:val="ListBullet"/>
        <w:spacing w:after="30" w:line="252" w:lineRule="auto"/>
      </w:pPr>
      <w:r>
        <w:rPr>
          <w:rFonts w:ascii="Aptos" w:hAnsi="Aptos"/>
          <w:sz w:val="19"/>
        </w:rPr>
        <w:t>Generate local embeddings only after preprocessing quality checks.</w:t>
      </w:r>
    </w:p>
    <w:p>
      <w:pPr>
        <w:pStyle w:val="ListBullet"/>
        <w:spacing w:after="30" w:line="252" w:lineRule="auto"/>
      </w:pPr>
      <w:r>
        <w:rPr>
          <w:rFonts w:ascii="Aptos" w:hAnsi="Aptos"/>
          <w:sz w:val="19"/>
        </w:rPr>
        <w:t>Assign stable document_id and chunk_id so changed chunks can be updated/deleted precisely.</w:t>
      </w:r>
    </w:p>
    <w:p>
      <w:pPr>
        <w:pStyle w:val="Heading2"/>
        <w:keepNext/>
        <w:spacing w:before="160" w:after="60"/>
      </w:pPr>
      <w:r>
        <w:t>7.2 Fine-tuning preprocessing</w:t>
      </w:r>
    </w:p>
    <w:p>
      <w:pPr>
        <w:pStyle w:val="ListBullet"/>
        <w:spacing w:after="30" w:line="252" w:lineRule="auto"/>
      </w:pPr>
      <w:r>
        <w:rPr>
          <w:rFonts w:ascii="Aptos" w:hAnsi="Aptos"/>
          <w:sz w:val="19"/>
        </w:rPr>
        <w:t>Use only verified, high-quality institutional knowledge and carefully written instructions/answers.</w:t>
      </w:r>
    </w:p>
    <w:p>
      <w:pPr>
        <w:pStyle w:val="ListBullet"/>
        <w:spacing w:after="30" w:line="252" w:lineRule="auto"/>
      </w:pPr>
      <w:r>
        <w:rPr>
          <w:rFonts w:ascii="Aptos" w:hAnsi="Aptos"/>
          <w:sz w:val="19"/>
        </w:rPr>
        <w:t>Convert source information into instruction/QA examples rather than blindly training on scraped web text.</w:t>
      </w:r>
    </w:p>
    <w:p>
      <w:pPr>
        <w:pStyle w:val="ListBullet"/>
        <w:spacing w:after="30" w:line="252" w:lineRule="auto"/>
      </w:pPr>
      <w:r>
        <w:rPr>
          <w:rFonts w:ascii="Aptos" w:hAnsi="Aptos"/>
          <w:sz w:val="19"/>
        </w:rPr>
        <w:t>Include stable VNR facts/terminology and examples of how a student answer differs from a faculty answer.</w:t>
      </w:r>
    </w:p>
    <w:p>
      <w:pPr>
        <w:pStyle w:val="ListBullet"/>
        <w:spacing w:after="30" w:line="252" w:lineRule="auto"/>
      </w:pPr>
      <w:r>
        <w:rPr>
          <w:rFonts w:ascii="Aptos" w:hAnsi="Aptos"/>
          <w:sz w:val="19"/>
        </w:rPr>
        <w:t>Do not over-represent one department or one document type.</w:t>
      </w:r>
    </w:p>
    <w:p>
      <w:pPr>
        <w:pStyle w:val="ListBullet"/>
        <w:spacing w:after="30" w:line="252" w:lineRule="auto"/>
      </w:pPr>
      <w:r>
        <w:rPr>
          <w:rFonts w:ascii="Aptos" w:hAnsi="Aptos"/>
          <w:sz w:val="19"/>
        </w:rPr>
        <w:t>Deduplicate semantically similar QA pairs.</w:t>
      </w:r>
    </w:p>
    <w:p>
      <w:pPr>
        <w:pStyle w:val="ListBullet"/>
        <w:spacing w:after="30" w:line="252" w:lineRule="auto"/>
      </w:pPr>
      <w:r>
        <w:rPr>
          <w:rFonts w:ascii="Aptos" w:hAnsi="Aptos"/>
          <w:sz w:val="19"/>
        </w:rPr>
        <w:t>Keep source provenance for every example so wrong training data can be traced.</w:t>
      </w:r>
    </w:p>
    <w:p>
      <w:pPr>
        <w:pStyle w:val="ListBullet"/>
        <w:spacing w:after="30" w:line="252" w:lineRule="auto"/>
      </w:pPr>
      <w:r>
        <w:rPr>
          <w:rFonts w:ascii="Aptos" w:hAnsi="Aptos"/>
          <w:sz w:val="19"/>
        </w:rPr>
        <w:t>Split train/validation/test before augmentation to prevent near-duplicate leakage.</w:t>
      </w:r>
    </w:p>
    <w:p>
      <w:pPr>
        <w:pStyle w:val="Heading2"/>
        <w:keepNext/>
        <w:spacing w:before="160" w:after="60"/>
      </w:pPr>
      <w:r>
        <w:t>Chunking methods to benchmark for RAG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08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Method</w:t>
            </w:r>
          </w:p>
        </w:tc>
        <w:tc>
          <w:tcPr>
            <w:tcW w:type="dxa" w:w="2376"/>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Best for</w:t>
            </w:r>
          </w:p>
        </w:tc>
        <w:tc>
          <w:tcPr>
            <w:tcW w:type="dxa" w:w="288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Risk</w:t>
            </w:r>
          </w:p>
        </w:tc>
        <w:tc>
          <w:tcPr>
            <w:tcW w:type="dxa" w:w="288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Test</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Fixed token/character</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Quick baseline</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Breaks headings/tables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Baseline only</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Recursive text splitting</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General prose</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Still structure-agnostic</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Benchmark</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Heading/document-aware</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Regulations, syllabus, academic pages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Parser quality matters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Strong candidate</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Semantic chunking</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Topic boundaries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Compute/complexity; can over-split</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Test only if it improves retrieval</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Parent-child/hierarchical</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Long documents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More retrieval logic</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Test for syllabus/regulations</w:t>
            </w:r>
          </w:p>
        </w:tc>
      </w:tr>
    </w:tbl>
    <w:p>
      <w:r/>
    </w:p>
    <w:p>
      <w:pPr>
        <w:pStyle w:val="Heading1"/>
        <w:keepNext/>
        <w:spacing w:before="240" w:after="100"/>
      </w:pPr>
      <w:r>
        <w:t>8. Phase 5 — Build the VJLM Benchmark Before Selecting Components</w:t>
      </w:r>
    </w:p>
    <w:p>
      <w:pPr>
        <w:spacing w:after="80" w:line="259" w:lineRule="auto"/>
      </w:pPr>
      <w:r>
        <w:rPr>
          <w:rFonts w:ascii="Aptos" w:hAnsi="Aptos"/>
          <w:sz w:val="20"/>
        </w:rPr>
        <w:t>This benchmark is the evidence base for all later 'which is better?' decisions. Build it before selecting embedding models, retrieval method, SLM, fine-tuning method or quantization.</w:t>
      </w:r>
    </w:p>
    <w:p>
      <w:pPr>
        <w:pStyle w:val="Heading2"/>
        <w:keepNext/>
        <w:spacing w:before="160" w:after="60"/>
      </w:pPr>
      <w:r>
        <w:t>Benchmark composition</w:t>
      </w:r>
    </w:p>
    <w:p>
      <w:pPr>
        <w:pStyle w:val="ListBullet"/>
        <w:spacing w:after="30" w:line="252" w:lineRule="auto"/>
      </w:pPr>
      <w:r>
        <w:rPr>
          <w:rFonts w:ascii="Aptos" w:hAnsi="Aptos"/>
          <w:sz w:val="19"/>
        </w:rPr>
        <w:t>Balanced student and faculty questions.</w:t>
      </w:r>
    </w:p>
    <w:p>
      <w:pPr>
        <w:pStyle w:val="ListBullet"/>
        <w:spacing w:after="30" w:line="252" w:lineRule="auto"/>
      </w:pPr>
      <w:r>
        <w:rPr>
          <w:rFonts w:ascii="Aptos" w:hAnsi="Aptos"/>
          <w:sz w:val="19"/>
        </w:rPr>
        <w:t>Cover academics, syllabus, regulations, examination, departments/faculty, placements, fees/scholarships, forms/procedures, clubs/events, facilities and research/opportunities where public data exists.</w:t>
      </w:r>
    </w:p>
    <w:p>
      <w:pPr>
        <w:pStyle w:val="ListBullet"/>
        <w:spacing w:after="30" w:line="252" w:lineRule="auto"/>
      </w:pPr>
      <w:r>
        <w:rPr>
          <w:rFonts w:ascii="Aptos" w:hAnsi="Aptos"/>
          <w:sz w:val="19"/>
        </w:rPr>
        <w:t>Include exact-fact questions, multi-sentence explanatory questions, cross-section questions and 'not found in public sources' questions.</w:t>
      </w:r>
    </w:p>
    <w:p>
      <w:pPr>
        <w:pStyle w:val="ListBullet"/>
        <w:spacing w:after="30" w:line="252" w:lineRule="auto"/>
      </w:pPr>
      <w:r>
        <w:rPr>
          <w:rFonts w:ascii="Aptos" w:hAnsi="Aptos"/>
          <w:sz w:val="19"/>
        </w:rPr>
        <w:t>For each question, store the correct source URL/document and, where possible, the exact relevant passage.</w:t>
      </w:r>
    </w:p>
    <w:p>
      <w:pPr>
        <w:pStyle w:val="ListBullet"/>
        <w:spacing w:after="30" w:line="252" w:lineRule="auto"/>
      </w:pPr>
      <w:r>
        <w:rPr>
          <w:rFonts w:ascii="Aptos" w:hAnsi="Aptos"/>
          <w:sz w:val="19"/>
        </w:rPr>
        <w:t>Create paraphrases so retrieval is not rewarded only for matching the page's exact wording.</w:t>
      </w:r>
    </w:p>
    <w:p>
      <w:pPr>
        <w:pStyle w:val="ListBullet"/>
        <w:spacing w:after="30" w:line="252" w:lineRule="auto"/>
      </w:pPr>
      <w:r>
        <w:rPr>
          <w:rFonts w:ascii="Aptos" w:hAnsi="Aptos"/>
          <w:sz w:val="19"/>
        </w:rPr>
        <w:t>Keep a final hidden test split that is never used to tune chunking/retrieval/model settings.</w:t>
      </w:r>
    </w:p>
    <w:p>
      <w:pPr>
        <w:pStyle w:val="Heading2"/>
        <w:keepNext/>
        <w:spacing w:before="160" w:after="60"/>
      </w:pPr>
      <w:r>
        <w:t>Suggested benchmark record</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w:t>
              <w:br/>
              <w:t xml:space="preserve">  "id": "STU-REG-001",</w:t>
              <w:br/>
              <w:t xml:space="preserve">  "role": "student",</w:t>
              <w:br/>
              <w:t xml:space="preserve">  "question": "...",</w:t>
              <w:br/>
              <w:t xml:space="preserve">  "category": "academic_regulations",</w:t>
              <w:br/>
              <w:t xml:space="preserve">  "gold_source_ids": ["..."],</w:t>
              <w:br/>
              <w:t xml:space="preserve">  "gold_passage": "...",</w:t>
              <w:br/>
              <w:t xml:space="preserve">  "answer_key": "...",</w:t>
              <w:br/>
              <w:t xml:space="preserve">  "requires_retrieval": true,</w:t>
              <w:br/>
              <w:t xml:space="preserve">  "allowed_visibility": ["public"]</w:t>
              <w:br/>
              <w:t>}</w:t>
            </w:r>
          </w:p>
        </w:tc>
      </w:tr>
    </w:tbl>
    <w:p>
      <w:pPr>
        <w:pStyle w:val="Heading2"/>
        <w:keepNext/>
        <w:spacing w:before="160" w:after="60"/>
      </w:pPr>
      <w:r>
        <w:t>Metrics used later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72"/>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Layer</w:t>
            </w:r>
          </w:p>
        </w:tc>
        <w:tc>
          <w:tcPr>
            <w:tcW w:type="dxa" w:w="4320"/>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Metrics</w:t>
            </w:r>
          </w:p>
        </w:tc>
        <w:tc>
          <w:tcPr>
            <w:tcW w:type="dxa" w:w="4032"/>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Purpose</w:t>
            </w:r>
          </w:p>
        </w:tc>
      </w:tr>
      <w:tr>
        <w:tc>
          <w:tcPr>
            <w:tcW w:type="dxa" w:w="18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Retrieval</w:t>
            </w:r>
          </w:p>
        </w:tc>
        <w:tc>
          <w:tcPr>
            <w:tcW w:type="dxa" w:w="432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Recall@k, MRR/nDCG, hit rate, latency</w:t>
            </w:r>
          </w:p>
        </w:tc>
        <w:tc>
          <w:tcPr>
            <w:tcW w:type="dxa" w:w="403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Did we retrieve the right evidence?</w:t>
            </w:r>
          </w:p>
        </w:tc>
      </w:tr>
      <w:tr>
        <w:tc>
          <w:tcPr>
            <w:tcW w:type="dxa" w:w="18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Generation</w:t>
            </w:r>
          </w:p>
        </w:tc>
        <w:tc>
          <w:tcPr>
            <w:tcW w:type="dxa" w:w="432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Correctness, faithfulness, completeness, citation accuracy</w:t>
            </w:r>
          </w:p>
        </w:tc>
        <w:tc>
          <w:tcPr>
            <w:tcW w:type="dxa" w:w="403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Did the SLM use evidence correctly?</w:t>
            </w:r>
          </w:p>
        </w:tc>
      </w:tr>
      <w:tr>
        <w:tc>
          <w:tcPr>
            <w:tcW w:type="dxa" w:w="18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Role behavior</w:t>
            </w:r>
          </w:p>
        </w:tc>
        <w:tc>
          <w:tcPr>
            <w:tcW w:type="dxa" w:w="432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Role appropriateness, access-policy compliance</w:t>
            </w:r>
          </w:p>
        </w:tc>
        <w:tc>
          <w:tcPr>
            <w:tcW w:type="dxa" w:w="403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Did student/faculty behavior remain correct?</w:t>
            </w:r>
          </w:p>
        </w:tc>
      </w:tr>
      <w:tr>
        <w:tc>
          <w:tcPr>
            <w:tcW w:type="dxa" w:w="18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Runtime</w:t>
            </w:r>
          </w:p>
        </w:tc>
        <w:tc>
          <w:tcPr>
            <w:tcW w:type="dxa" w:w="432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RAM, model size, first-token latency, tokens/sec</w:t>
            </w:r>
          </w:p>
        </w:tc>
        <w:tc>
          <w:tcPr>
            <w:tcW w:type="dxa" w:w="403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Can it run locally?</w:t>
            </w:r>
          </w:p>
        </w:tc>
      </w:tr>
      <w:tr>
        <w:tc>
          <w:tcPr>
            <w:tcW w:type="dxa" w:w="187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Maintenance</w:t>
            </w:r>
          </w:p>
        </w:tc>
        <w:tc>
          <w:tcPr>
            <w:tcW w:type="dxa" w:w="4320"/>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Update success rate, stale-source rate, crawl/parser errors</w:t>
            </w:r>
          </w:p>
        </w:tc>
        <w:tc>
          <w:tcPr>
            <w:tcW w:type="dxa" w:w="403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Will the knowledge stay current?</w:t>
            </w:r>
          </w:p>
        </w:tc>
      </w:tr>
    </w:tbl>
    <w:p>
      <w:r/>
    </w:p>
    <w:p>
      <w:pPr>
        <w:pStyle w:val="Heading1"/>
        <w:keepNext/>
        <w:spacing w:before="240" w:after="100"/>
      </w:pPr>
      <w:r>
        <w:t>9. Phase 6 — Select and Build the Local RAG</w:t>
      </w:r>
    </w:p>
    <w:p>
      <w:pPr>
        <w:pStyle w:val="Heading2"/>
        <w:keepNext/>
        <w:spacing w:before="160" w:after="60"/>
      </w:pPr>
      <w:r>
        <w:t>9.1 Component decisions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72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Component</w:t>
            </w:r>
          </w:p>
        </w:tc>
        <w:tc>
          <w:tcPr>
            <w:tcW w:type="dxa" w:w="316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Candidates to compare</w:t>
            </w:r>
          </w:p>
        </w:tc>
        <w:tc>
          <w:tcPr>
            <w:tcW w:type="dxa" w:w="2592"/>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VJLM metric</w:t>
            </w:r>
          </w:p>
        </w:tc>
        <w:tc>
          <w:tcPr>
            <w:tcW w:type="dxa" w:w="288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Selection rule</w:t>
            </w:r>
          </w:p>
        </w:tc>
      </w:tr>
      <w:tr>
        <w:tc>
          <w:tcPr>
            <w:tcW w:type="dxa" w:w="172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Embedding model</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Shortlist 2–4 current local embedding models from official model cards</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Recall@k/MRR, CPU latency, RAM/disk</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Highest retrieval quality that fits local constraints</w:t>
            </w:r>
          </w:p>
        </w:tc>
      </w:tr>
      <w:tr>
        <w:tc>
          <w:tcPr>
            <w:tcW w:type="dxa" w:w="172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Retriever</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Dense vs BM25 vs hybrid</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Recall@k, MRR, latency</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Prefer hybrid only if it gives meaningful VJLM gains</w:t>
            </w:r>
          </w:p>
        </w:tc>
      </w:tr>
      <w:tr>
        <w:tc>
          <w:tcPr>
            <w:tcW w:type="dxa" w:w="172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Reranker</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No reranker vs local reranker</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MRR/nDCG, answer gain, latency</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Keep only if quality gain justifies added latency</w:t>
            </w:r>
          </w:p>
        </w:tc>
      </w:tr>
      <w:tr>
        <w:tc>
          <w:tcPr>
            <w:tcW w:type="dxa" w:w="172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Chunking</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Fixed vs recursive vs document-aware vs hierarchical</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Retrieval + citation precision</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Choose on benchmark, not intuition</w:t>
            </w:r>
          </w:p>
        </w:tc>
      </w:tr>
      <w:tr>
        <w:tc>
          <w:tcPr>
            <w:tcW w:type="dxa" w:w="172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Vector store</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FAISS/Chroma/Qdrant or other current local options</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Persistence, filters, operational simplicity</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Need stable IDs + metadata filters + local persistence</w:t>
            </w:r>
          </w:p>
        </w:tc>
      </w:tr>
      <w:tr>
        <w:tc>
          <w:tcPr>
            <w:tcW w:type="dxa" w:w="172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Structured module</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None vs SQLite/PostgreSQL/graph for exact relationships</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Exactness for relational questions</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Add only if vector retrieval is weak for structured queries</w:t>
            </w:r>
          </w:p>
        </w:tc>
      </w:tr>
    </w:tbl>
    <w:p>
      <w:pPr>
        <w:pStyle w:val="Heading2"/>
        <w:keepNext/>
        <w:spacing w:before="160" w:after="60"/>
      </w:pPr>
      <w:r>
        <w:t>9.2 Browser instruction for Desktop AI</w:t>
      </w:r>
    </w:p>
    <w:tbl>
      <w:tblPr>
        <w:tblW w:type="auto" w:w="0"/>
        <w:jc w:val="center"/>
        <w:tblLook w:firstColumn="1" w:firstRow="1" w:lastColumn="0" w:lastRow="0" w:noHBand="0" w:noVBand="1" w:val="04A0"/>
      </w:tblPr>
      <w:tblGrid>
        <w:gridCol w:w="10282"/>
      </w:tblGrid>
      <w:tr>
        <w:trPr>
          <w:cantSplit/>
        </w:trPr>
        <w:tc>
          <w:tcPr>
            <w:tcW w:type="dxa" w:w="10282"/>
            <w:shd w:fill="EEF0FA"/>
            <w:tcMar>
              <w:top w:w="100" w:type="dxa"/>
              <w:start w:w="140" w:type="dxa"/>
              <w:bottom w:w="100" w:type="dxa"/>
              <w:end w:w="140" w:type="dxa"/>
            </w:tcMar>
            <w:tcBorders>
              <w:top w:val="single" w:sz="8" w:color="654A8E"/>
              <w:left w:val="single" w:sz="8" w:color="654A8E"/>
              <w:bottom w:val="single" w:sz="8" w:color="654A8E"/>
              <w:right w:val="single" w:sz="8" w:color="654A8E"/>
            </w:tcBorders>
          </w:tcPr>
          <w:p>
            <w:pPr>
              <w:spacing w:after="40"/>
            </w:pPr>
            <w:r>
              <w:rPr>
                <w:rFonts w:ascii="Aptos" w:hAnsi="Aptos"/>
                <w:b/>
                <w:color w:val="16324F"/>
                <w:sz w:val="21"/>
              </w:rPr>
              <w:t>Use the browser here</w:t>
            </w:r>
          </w:p>
          <w:p>
            <w:pPr>
              <w:spacing w:after="0" w:line="252" w:lineRule="auto"/>
            </w:pPr>
            <w:r>
              <w:rPr>
                <w:rFonts w:ascii="Aptos" w:hAnsi="Aptos"/>
                <w:sz w:val="19"/>
              </w:rPr>
              <w:t>Before testing candidates, verify the current official model cards, licenses, embedding dimensions, CPU support, context limits, vector-store local deployment options, and reranker compatibility. Do not rely on an old blog comparison. Record versions and sources in DECISIONS.md.</w:t>
            </w:r>
          </w:p>
        </w:tc>
      </w:tr>
    </w:tbl>
    <w:p>
      <w:pPr>
        <w:pStyle w:val="Heading2"/>
        <w:keepNext/>
        <w:spacing w:before="160" w:after="60"/>
      </w:pPr>
      <w:r>
        <w:t>9.3 Baseline RAG query flow</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authenticated role</w:t>
              <w:br/>
              <w:t xml:space="preserve">      ↓</w:t>
              <w:br/>
              <w:t>user query</w:t>
              <w:br/>
              <w:t xml:space="preserve">      ↓</w:t>
              <w:br/>
              <w:t>metadata/access filter</w:t>
              <w:br/>
              <w:t xml:space="preserve">      ↓</w:t>
              <w:br/>
              <w:t>candidate retrieval</w:t>
              <w:br/>
              <w:t xml:space="preserve">      ↓</w:t>
              <w:br/>
              <w:t>optional reranking</w:t>
              <w:br/>
              <w:t xml:space="preserve">      ↓</w:t>
              <w:br/>
              <w:t>top evidence + source metadata</w:t>
              <w:br/>
              <w:t xml:space="preserve">      ↓</w:t>
              <w:br/>
              <w:t>prompt builder</w:t>
              <w:br/>
              <w:t xml:space="preserve">      ↓</w:t>
              <w:br/>
              <w:t>local SLM</w:t>
              <w:br/>
              <w:t xml:space="preserve">      ↓</w:t>
              <w:br/>
              <w:t>answer + citations</w:t>
            </w:r>
          </w:p>
        </w:tc>
      </w:tr>
    </w:tbl>
    <w:p>
      <w:pPr>
        <w:pStyle w:val="Heading2"/>
        <w:keepNext/>
        <w:spacing w:before="160" w:after="60"/>
      </w:pPr>
      <w:r>
        <w:t>RAG gate</w:t>
      </w:r>
    </w:p>
    <w:tbl>
      <w:tblPr>
        <w:tblW w:type="auto" w:w="0"/>
        <w:jc w:val="center"/>
        <w:tblLook w:firstColumn="1" w:firstRow="1" w:lastColumn="0" w:lastRow="0" w:noHBand="0" w:noVBand="1" w:val="04A0"/>
      </w:tblPr>
      <w:tblGrid>
        <w:gridCol w:w="10282"/>
      </w:tblGrid>
      <w:tr>
        <w:trPr>
          <w:cantSplit/>
        </w:trPr>
        <w:tc>
          <w:tcPr>
            <w:tcW w:type="dxa" w:w="10282"/>
            <w:shd w:fill="FFF4D9"/>
            <w:tcMar>
              <w:top w:w="100" w:type="dxa"/>
              <w:start w:w="140" w:type="dxa"/>
              <w:bottom w:w="100" w:type="dxa"/>
              <w:end w:w="140" w:type="dxa"/>
            </w:tcMar>
            <w:tcBorders>
              <w:top w:val="single" w:sz="8" w:color="A66A00"/>
              <w:left w:val="single" w:sz="8" w:color="A66A00"/>
              <w:bottom w:val="single" w:sz="8" w:color="A66A00"/>
              <w:right w:val="single" w:sz="8" w:color="A66A00"/>
            </w:tcBorders>
          </w:tcPr>
          <w:p>
            <w:pPr>
              <w:spacing w:after="40"/>
            </w:pPr>
            <w:r>
              <w:rPr>
                <w:rFonts w:ascii="Aptos" w:hAnsi="Aptos"/>
                <w:b/>
                <w:color w:val="16324F"/>
                <w:sz w:val="21"/>
              </w:rPr>
              <w:t>Phase 6 gate</w:t>
            </w:r>
          </w:p>
          <w:p>
            <w:pPr>
              <w:spacing w:after="0" w:line="252" w:lineRule="auto"/>
            </w:pPr>
            <w:r>
              <w:rPr>
                <w:rFonts w:ascii="Aptos" w:hAnsi="Aptos"/>
                <w:sz w:val="19"/>
              </w:rPr>
              <w:t>Do not move to fine-tuning until the baseline RAG can retrieve correct sources reliably. If answers are wrong because retrieval is wrong, fine-tuning the SLM will not fix the root cause.</w:t>
            </w:r>
          </w:p>
        </w:tc>
      </w:tr>
    </w:tbl>
    <w:p>
      <w:r/>
    </w:p>
    <w:p>
      <w:pPr>
        <w:pStyle w:val="Heading1"/>
        <w:keepNext/>
        <w:spacing w:before="240" w:after="100"/>
      </w:pPr>
      <w:r>
        <w:t>10. Phase 7 — Local SLM Selection</w:t>
      </w:r>
    </w:p>
    <w:p>
      <w:pPr>
        <w:spacing w:after="80" w:line="259" w:lineRule="auto"/>
      </w:pPr>
      <w:r>
        <w:rPr>
          <w:rFonts w:ascii="Aptos" w:hAnsi="Aptos"/>
          <w:sz w:val="20"/>
        </w:rPr>
        <w:t>Select the base model after RAG is functional, because VJLM needs a generator that follows instructions, uses retrieved context faithfully and runs on local hardware.</w:t>
      </w:r>
    </w:p>
    <w:p>
      <w:pPr>
        <w:pStyle w:val="Heading2"/>
        <w:keepNext/>
        <w:spacing w:before="160" w:after="60"/>
      </w:pPr>
      <w:r>
        <w:t>Shortlist rules</w:t>
      </w:r>
    </w:p>
    <w:p>
      <w:pPr>
        <w:pStyle w:val="ListBullet"/>
        <w:spacing w:after="30" w:line="252" w:lineRule="auto"/>
      </w:pPr>
      <w:r>
        <w:rPr>
          <w:rFonts w:ascii="Aptos" w:hAnsi="Aptos"/>
          <w:sz w:val="19"/>
        </w:rPr>
        <w:t>Use the inbuilt browser to identify 3–5 currently available instruct models in the practical local-size range for the target hardware.</w:t>
      </w:r>
    </w:p>
    <w:p>
      <w:pPr>
        <w:pStyle w:val="ListBullet"/>
        <w:spacing w:after="30" w:line="252" w:lineRule="auto"/>
      </w:pPr>
      <w:r>
        <w:rPr>
          <w:rFonts w:ascii="Aptos" w:hAnsi="Aptos"/>
          <w:sz w:val="19"/>
        </w:rPr>
        <w:t>Verify license, model architecture, tokenizer, context length, fine-tuning support, quantization/runtime compatibility and official model card.</w:t>
      </w:r>
    </w:p>
    <w:p>
      <w:pPr>
        <w:pStyle w:val="ListBullet"/>
        <w:spacing w:after="30" w:line="252" w:lineRule="auto"/>
      </w:pPr>
      <w:r>
        <w:rPr>
          <w:rFonts w:ascii="Aptos" w:hAnsi="Aptos"/>
          <w:sz w:val="19"/>
        </w:rPr>
        <w:t>Do not select by general leaderboard alone; run the VJLM held-out questions with the same retrieved context.</w:t>
      </w:r>
    </w:p>
    <w:p>
      <w:pPr>
        <w:pStyle w:val="ListBullet"/>
        <w:spacing w:after="30" w:line="252" w:lineRule="auto"/>
      </w:pPr>
      <w:r>
        <w:rPr>
          <w:rFonts w:ascii="Aptos" w:hAnsi="Aptos"/>
          <w:sz w:val="19"/>
        </w:rPr>
        <w:t>If multilingual support becomes a requirement, add it explicitly as a benchmark criterion rather than assuming all models are equivalent.</w:t>
      </w:r>
    </w:p>
    <w:p>
      <w:pPr>
        <w:pStyle w:val="Heading2"/>
        <w:keepNext/>
        <w:spacing w:before="160" w:after="60"/>
      </w:pPr>
      <w:r>
        <w:t>Metrics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Metric</w:t>
            </w:r>
          </w:p>
        </w:tc>
        <w:tc>
          <w:tcPr>
            <w:tcW w:type="dxa" w:w="7848"/>
            <w:vAlign w:val="center"/>
            <w:shd w:fill="16324F"/>
            <w:tcMar>
              <w:top w:w="60" w:type="dxa"/>
              <w:start w:w="90" w:type="dxa"/>
              <w:bottom w:w="60" w:type="dxa"/>
              <w:end w:w="90" w:type="dxa"/>
            </w:tcMar>
          </w:tcPr>
          <w:p>
            <w:pPr>
              <w:spacing w:after="0" w:before="0"/>
            </w:pPr>
            <w:r>
              <w:rPr>
                <w:rFonts w:ascii="Aptos" w:hAnsi="Aptos"/>
                <w:b/>
                <w:color w:val="FFFFFF"/>
                <w:sz w:val="18"/>
              </w:rPr>
            </w:r>
            <w:r>
              <w:rPr>
                <w:rFonts w:ascii="Aptos" w:hAnsi="Aptos"/>
                <w:b/>
                <w:color w:val="FFFFFF"/>
                <w:sz w:val="18"/>
              </w:rPr>
              <w:t>How to test</w:t>
            </w:r>
          </w:p>
        </w:tc>
      </w:tr>
      <w:tr>
        <w:tc>
          <w:tcPr>
            <w:tcW w:type="dxa" w:w="2520"/>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Grounded correctness</w:t>
            </w:r>
          </w:p>
        </w:tc>
        <w:tc>
          <w:tcPr>
            <w:tcW w:type="dxa" w:w="7848"/>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Same gold retrieval context for every model.</w:t>
            </w:r>
          </w:p>
        </w:tc>
      </w:tr>
      <w:tr>
        <w:tc>
          <w:tcPr>
            <w:tcW w:type="dxa" w:w="2520"/>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Instruction following</w:t>
            </w:r>
          </w:p>
        </w:tc>
        <w:tc>
          <w:tcPr>
            <w:tcW w:type="dxa" w:w="7848"/>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Role, answer format, citation and 'use only provided evidence' tests.</w:t>
            </w:r>
          </w:p>
        </w:tc>
      </w:tr>
      <w:tr>
        <w:tc>
          <w:tcPr>
            <w:tcW w:type="dxa" w:w="2520"/>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Hallucination/abstention</w:t>
            </w:r>
          </w:p>
        </w:tc>
        <w:tc>
          <w:tcPr>
            <w:tcW w:type="dxa" w:w="7848"/>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Questions whose answer is absent from retrieved evidence.</w:t>
            </w:r>
          </w:p>
        </w:tc>
      </w:tr>
      <w:tr>
        <w:tc>
          <w:tcPr>
            <w:tcW w:type="dxa" w:w="2520"/>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Local feasibility</w:t>
            </w:r>
          </w:p>
        </w:tc>
        <w:tc>
          <w:tcPr>
            <w:tcW w:type="dxa" w:w="7848"/>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RAM, load time, first-token latency, tokens/sec.</w:t>
            </w:r>
          </w:p>
        </w:tc>
      </w:tr>
      <w:tr>
        <w:tc>
          <w:tcPr>
            <w:tcW w:type="dxa" w:w="2520"/>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Fine-tuning feasibility</w:t>
            </w:r>
          </w:p>
        </w:tc>
        <w:tc>
          <w:tcPr>
            <w:tcW w:type="dxa" w:w="7848"/>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Supported training libraries, tokenizer/model architecture, available compute.</w:t>
            </w:r>
          </w:p>
        </w:tc>
      </w:tr>
      <w:tr>
        <w:tc>
          <w:tcPr>
            <w:tcW w:type="dxa" w:w="2520"/>
            <w:vAlign w:val="center"/>
            <w:tcMar>
              <w:top w:w="60" w:type="dxa"/>
              <w:start w:w="90" w:type="dxa"/>
              <w:bottom w:w="60" w:type="dxa"/>
              <w:end w:w="90" w:type="dxa"/>
            </w:tcMar>
          </w:tcPr>
          <w:p>
            <w:pPr>
              <w:spacing w:after="0" w:before="0"/>
            </w:pPr>
            <w:r>
              <w:rPr>
                <w:rFonts w:ascii="Aptos" w:hAnsi="Aptos"/>
                <w:sz w:val="18"/>
              </w:rPr>
            </w:r>
            <w:r>
              <w:rPr>
                <w:rFonts w:ascii="Aptos" w:hAnsi="Aptos"/>
                <w:b/>
                <w:sz w:val="18"/>
              </w:rPr>
              <w:t>License</w:t>
            </w:r>
          </w:p>
        </w:tc>
        <w:tc>
          <w:tcPr>
            <w:tcW w:type="dxa" w:w="7848"/>
            <w:vAlign w:val="center"/>
            <w:tcMar>
              <w:top w:w="60" w:type="dxa"/>
              <w:start w:w="90" w:type="dxa"/>
              <w:bottom w:w="60" w:type="dxa"/>
              <w:end w:w="90" w:type="dxa"/>
            </w:tcMar>
          </w:tcPr>
          <w:p>
            <w:pPr>
              <w:spacing w:after="0" w:before="0"/>
            </w:pPr>
            <w:r>
              <w:rPr>
                <w:rFonts w:ascii="Aptos" w:hAnsi="Aptos"/>
                <w:sz w:val="18"/>
              </w:rPr>
            </w:r>
            <w:r>
              <w:rPr>
                <w:rFonts w:ascii="Aptos" w:hAnsi="Aptos"/>
                <w:b w:val="0"/>
                <w:sz w:val="18"/>
              </w:rPr>
              <w:t>Explicitly compatible with intended academic/local deployment.</w:t>
            </w:r>
          </w:p>
        </w:tc>
      </w:tr>
    </w:tbl>
    <w:p>
      <w:pPr>
        <w:pStyle w:val="Heading2"/>
        <w:keepNext/>
        <w:spacing w:before="160" w:after="60"/>
      </w:pPr>
      <w:r>
        <w:t>Selection gate</w:t>
      </w:r>
    </w:p>
    <w:tbl>
      <w:tblPr>
        <w:tblW w:type="auto" w:w="0"/>
        <w:jc w:val="center"/>
        <w:tblLook w:firstColumn="1" w:firstRow="1" w:lastColumn="0" w:lastRow="0" w:noHBand="0" w:noVBand="1" w:val="04A0"/>
      </w:tblPr>
      <w:tblGrid>
        <w:gridCol w:w="10282"/>
      </w:tblGrid>
      <w:tr>
        <w:trPr>
          <w:cantSplit/>
        </w:trPr>
        <w:tc>
          <w:tcPr>
            <w:tcW w:type="dxa" w:w="10282"/>
            <w:shd w:fill="FFF4D9"/>
            <w:tcMar>
              <w:top w:w="100" w:type="dxa"/>
              <w:start w:w="140" w:type="dxa"/>
              <w:bottom w:w="100" w:type="dxa"/>
              <w:end w:w="140" w:type="dxa"/>
            </w:tcMar>
            <w:tcBorders>
              <w:top w:val="single" w:sz="8" w:color="A66A00"/>
              <w:left w:val="single" w:sz="8" w:color="A66A00"/>
              <w:bottom w:val="single" w:sz="8" w:color="A66A00"/>
              <w:right w:val="single" w:sz="8" w:color="A66A00"/>
            </w:tcBorders>
          </w:tcPr>
          <w:p>
            <w:pPr>
              <w:spacing w:after="40"/>
            </w:pPr>
            <w:r>
              <w:rPr>
                <w:rFonts w:ascii="Aptos" w:hAnsi="Aptos"/>
                <w:b/>
                <w:color w:val="16324F"/>
                <w:sz w:val="21"/>
              </w:rPr>
              <w:t>Phase 7 gate</w:t>
            </w:r>
          </w:p>
          <w:p>
            <w:pPr>
              <w:spacing w:after="0" w:line="252" w:lineRule="auto"/>
            </w:pPr>
            <w:r>
              <w:rPr>
                <w:rFonts w:ascii="Aptos" w:hAnsi="Aptos"/>
                <w:sz w:val="19"/>
              </w:rPr>
              <w:t>Choose one primary base SLM and optionally one backup. Record benchmark results before training. Preserve the untouched base model result so later fine-tuning gains can be measured.</w:t>
            </w:r>
          </w:p>
        </w:tc>
      </w:tr>
    </w:tbl>
    <w:p>
      <w:r/>
    </w:p>
    <w:p>
      <w:pPr>
        <w:pStyle w:val="Heading1"/>
        <w:keepNext/>
        <w:spacing w:before="240" w:after="100"/>
      </w:pPr>
      <w:r>
        <w:t>11. Phase 8 — Fine-Tuning Dataset and Method</w:t>
      </w:r>
    </w:p>
    <w:p>
      <w:pPr>
        <w:pStyle w:val="Heading2"/>
        <w:keepNext/>
        <w:spacing w:before="160" w:after="60"/>
      </w:pPr>
      <w:r>
        <w:t>11.1 What the VJLM fine-tuning dataset should contain</w:t>
      </w:r>
    </w:p>
    <w:p>
      <w:pPr>
        <w:pStyle w:val="ListBullet"/>
        <w:spacing w:after="30" w:line="252" w:lineRule="auto"/>
      </w:pPr>
      <w:r>
        <w:rPr>
          <w:rFonts w:ascii="Aptos" w:hAnsi="Aptos"/>
          <w:sz w:val="19"/>
        </w:rPr>
        <w:t>Stable VNR-specific identity/history/terminology that is unlikely to change frequently.</w:t>
      </w:r>
    </w:p>
    <w:p>
      <w:pPr>
        <w:pStyle w:val="ListBullet"/>
        <w:spacing w:after="30" w:line="252" w:lineRule="auto"/>
      </w:pPr>
      <w:r>
        <w:rPr>
          <w:rFonts w:ascii="Aptos" w:hAnsi="Aptos"/>
          <w:sz w:val="19"/>
        </w:rPr>
        <w:t>VNR academic vocabulary and common ways students/faculty ask questions.</w:t>
      </w:r>
    </w:p>
    <w:p>
      <w:pPr>
        <w:pStyle w:val="ListBullet"/>
        <w:spacing w:after="30" w:line="252" w:lineRule="auto"/>
      </w:pPr>
      <w:r>
        <w:rPr>
          <w:rFonts w:ascii="Aptos" w:hAnsi="Aptos"/>
          <w:sz w:val="19"/>
        </w:rPr>
        <w:t>Role-specific answer behavior: student-friendly explanation vs faculty-oriented explanation where appropriate.</w:t>
      </w:r>
    </w:p>
    <w:p>
      <w:pPr>
        <w:pStyle w:val="ListBullet"/>
        <w:spacing w:after="30" w:line="252" w:lineRule="auto"/>
      </w:pPr>
      <w:r>
        <w:rPr>
          <w:rFonts w:ascii="Aptos" w:hAnsi="Aptos"/>
          <w:sz w:val="19"/>
        </w:rPr>
        <w:t>Examples that teach the model to use supplied context, cite sources and abstain when evidence is missing.</w:t>
      </w:r>
    </w:p>
    <w:p>
      <w:pPr>
        <w:pStyle w:val="ListBullet"/>
        <w:spacing w:after="30" w:line="252" w:lineRule="auto"/>
      </w:pPr>
      <w:r>
        <w:rPr>
          <w:rFonts w:ascii="Aptos" w:hAnsi="Aptos"/>
          <w:sz w:val="19"/>
        </w:rPr>
        <w:t>Representative policy/regulation QA examples, while the full authoritative policy remains in RAG.</w:t>
      </w:r>
    </w:p>
    <w:p>
      <w:pPr>
        <w:pStyle w:val="ListBullet"/>
        <w:spacing w:after="30" w:line="252" w:lineRule="auto"/>
      </w:pPr>
      <w:r>
        <w:rPr>
          <w:rFonts w:ascii="Aptos" w:hAnsi="Aptos"/>
          <w:sz w:val="19"/>
        </w:rPr>
        <w:t>Negative examples: do not invent dates, staff details or policies not supported by evidence.</w:t>
      </w:r>
    </w:p>
    <w:p>
      <w:pPr>
        <w:pStyle w:val="Heading2"/>
        <w:keepNext/>
        <w:spacing w:before="160" w:after="60"/>
      </w:pPr>
      <w:r>
        <w:t>11.2 Dataset creation methods to compare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16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Method</w:t>
            </w:r>
          </w:p>
        </w:tc>
        <w:tc>
          <w:tcPr>
            <w:tcW w:type="dxa" w:w="2376"/>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Strength</w:t>
            </w:r>
          </w:p>
        </w:tc>
        <w:tc>
          <w:tcPr>
            <w:tcW w:type="dxa" w:w="2664"/>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Risk</w:t>
            </w:r>
          </w:p>
        </w:tc>
        <w:tc>
          <w:tcPr>
            <w:tcW w:type="dxa" w:w="288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Use in VJLM</w:t>
            </w:r>
          </w:p>
        </w:tc>
      </w:tr>
      <w:tr>
        <w:tc>
          <w:tcPr>
            <w:tcW w:type="dxa" w:w="216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Human-authored QA</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Highest control</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Slow</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Gold examples and evaluation seeds</w:t>
            </w:r>
          </w:p>
        </w:tc>
      </w:tr>
      <w:tr>
        <w:tc>
          <w:tcPr>
            <w:tcW w:type="dxa" w:w="216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Template-based generation</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Fast and reproducible</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Can sound repetitive</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Stable facts/structured documents</w:t>
            </w:r>
          </w:p>
        </w:tc>
      </w:tr>
      <w:tr>
        <w:tc>
          <w:tcPr>
            <w:tcW w:type="dxa" w:w="216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Local-model-assisted generation</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Scales draft creation without external API</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Must be verified</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Candidate expansion only; human/rule verification required</w:t>
            </w:r>
          </w:p>
        </w:tc>
      </w:tr>
      <w:tr>
        <w:tc>
          <w:tcPr>
            <w:tcW w:type="dxa" w:w="216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Direct domain-text training</w:t>
            </w:r>
          </w:p>
        </w:tc>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Useful for domain adaptation</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Not instruction-following by itself</w:t>
            </w:r>
          </w:p>
        </w:tc>
        <w:tc>
          <w:tcPr>
            <w:tcW w:type="dxa" w:w="288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Consider only for continued pretraining experiment</w:t>
            </w:r>
          </w:p>
        </w:tc>
      </w:tr>
    </w:tbl>
    <w:p>
      <w:pPr>
        <w:pStyle w:val="Heading2"/>
        <w:keepNext/>
        <w:spacing w:before="160" w:after="60"/>
      </w:pPr>
      <w:r>
        <w:t>11.3 Fine-tuning methods to compare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376"/>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Method</w:t>
            </w:r>
          </w:p>
        </w:tc>
        <w:tc>
          <w:tcPr>
            <w:tcW w:type="dxa" w:w="244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Pros</w:t>
            </w:r>
          </w:p>
        </w:tc>
        <w:tc>
          <w:tcPr>
            <w:tcW w:type="dxa" w:w="316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Cons</w:t>
            </w:r>
          </w:p>
        </w:tc>
        <w:tc>
          <w:tcPr>
            <w:tcW w:type="dxa" w:w="252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Decision</w:t>
            </w:r>
          </w:p>
        </w:tc>
      </w:tr>
      <w:tr>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Full fine-tuning</w:t>
            </w:r>
          </w:p>
        </w:tc>
        <w:tc>
          <w:tcPr>
            <w:tcW w:type="dxa" w:w="244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Maximum parameter freedom</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High GPU memory/compute; higher overfitting risk</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Only if resources and measured gains justify it</w:t>
            </w:r>
          </w:p>
        </w:tc>
      </w:tr>
      <w:tr>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LoRA/PEFT</w:t>
            </w:r>
          </w:p>
        </w:tc>
        <w:tc>
          <w:tcPr>
            <w:tcW w:type="dxa" w:w="244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Efficient, easy to iterate</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Adapter management; still needs suitable base precision</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Strong practical candidate</w:t>
            </w:r>
          </w:p>
        </w:tc>
      </w:tr>
      <w:tr>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QLoRA</w:t>
            </w:r>
          </w:p>
        </w:tc>
        <w:tc>
          <w:tcPr>
            <w:tcW w:type="dxa" w:w="244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Lower training memory</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Training/quantization details can affect stability</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Strong candidate when GPU memory is limited</w:t>
            </w:r>
          </w:p>
        </w:tc>
      </w:tr>
      <w:tr>
        <w:tc>
          <w:tcPr>
            <w:tcW w:type="dxa" w:w="237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Domain-adaptive continued pretraining + SFT</w:t>
            </w:r>
          </w:p>
        </w:tc>
        <w:tc>
          <w:tcPr>
            <w:tcW w:type="dxa" w:w="244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Can improve domain language</w:t>
            </w:r>
          </w:p>
        </w:tc>
        <w:tc>
          <w:tcPr>
            <w:tcW w:type="dxa" w:w="316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More data/compute; can cause forgetting</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Research option only if SFT alone is insufficient</w:t>
            </w:r>
          </w:p>
        </w:tc>
      </w:tr>
    </w:tbl>
    <w:p>
      <w:pPr>
        <w:pStyle w:val="Heading2"/>
        <w:keepNext/>
        <w:spacing w:before="160" w:after="60"/>
      </w:pPr>
      <w:r>
        <w:t>11.4 Selection experiment</w:t>
      </w:r>
    </w:p>
    <w:p>
      <w:pPr>
        <w:pStyle w:val="ListBullet"/>
        <w:spacing w:after="30" w:line="252" w:lineRule="auto"/>
      </w:pPr>
      <w:r>
        <w:rPr>
          <w:rFonts w:ascii="Aptos" w:hAnsi="Aptos"/>
          <w:sz w:val="19"/>
        </w:rPr>
        <w:t>Use the same base model, same training/validation splits and same held-out benchmark.</w:t>
      </w:r>
    </w:p>
    <w:p>
      <w:pPr>
        <w:pStyle w:val="ListBullet"/>
        <w:spacing w:after="30" w:line="252" w:lineRule="auto"/>
      </w:pPr>
      <w:r>
        <w:rPr>
          <w:rFonts w:ascii="Aptos" w:hAnsi="Aptos"/>
          <w:sz w:val="19"/>
        </w:rPr>
        <w:t>Keep training budget controlled when comparing methods.</w:t>
      </w:r>
    </w:p>
    <w:p>
      <w:pPr>
        <w:pStyle w:val="ListBullet"/>
        <w:spacing w:after="30" w:line="252" w:lineRule="auto"/>
      </w:pPr>
      <w:r>
        <w:rPr>
          <w:rFonts w:ascii="Aptos" w:hAnsi="Aptos"/>
          <w:sz w:val="19"/>
        </w:rPr>
        <w:t>Compare base model vs each tuned version on grounded correctness, role behavior, hallucination, general instruction-following and regression on non-VNR questions.</w:t>
      </w:r>
    </w:p>
    <w:p>
      <w:pPr>
        <w:pStyle w:val="ListBullet"/>
        <w:spacing w:after="30" w:line="252" w:lineRule="auto"/>
      </w:pPr>
      <w:r>
        <w:rPr>
          <w:rFonts w:ascii="Aptos" w:hAnsi="Aptos"/>
          <w:sz w:val="19"/>
        </w:rPr>
        <w:t>Check for train/test leakage and memorization of test questions.</w:t>
      </w:r>
    </w:p>
    <w:p>
      <w:pPr>
        <w:pStyle w:val="ListBullet"/>
        <w:spacing w:after="30" w:line="252" w:lineRule="auto"/>
      </w:pPr>
      <w:r>
        <w:rPr>
          <w:rFonts w:ascii="Aptos" w:hAnsi="Aptos"/>
          <w:sz w:val="19"/>
        </w:rPr>
        <w:t>Select the smallest/cheapest method that gives a meaningful, repeatable VJLM improvement.</w:t>
      </w:r>
    </w:p>
    <w:p>
      <w:pPr>
        <w:pStyle w:val="Heading2"/>
        <w:keepNext/>
        <w:spacing w:before="160" w:after="60"/>
      </w:pPr>
      <w:r>
        <w:t>Browser instruction for Desktop AI</w:t>
      </w:r>
    </w:p>
    <w:tbl>
      <w:tblPr>
        <w:tblW w:type="auto" w:w="0"/>
        <w:jc w:val="center"/>
        <w:tblLook w:firstColumn="1" w:firstRow="1" w:lastColumn="0" w:lastRow="0" w:noHBand="0" w:noVBand="1" w:val="04A0"/>
      </w:tblPr>
      <w:tblGrid>
        <w:gridCol w:w="10282"/>
      </w:tblGrid>
      <w:tr>
        <w:trPr>
          <w:cantSplit/>
        </w:trPr>
        <w:tc>
          <w:tcPr>
            <w:tcW w:type="dxa" w:w="10282"/>
            <w:shd w:fill="EEF0FA"/>
            <w:tcMar>
              <w:top w:w="100" w:type="dxa"/>
              <w:start w:w="140" w:type="dxa"/>
              <w:bottom w:w="100" w:type="dxa"/>
              <w:end w:w="140" w:type="dxa"/>
            </w:tcMar>
            <w:tcBorders>
              <w:top w:val="single" w:sz="8" w:color="654A8E"/>
              <w:left w:val="single" w:sz="8" w:color="654A8E"/>
              <w:bottom w:val="single" w:sz="8" w:color="654A8E"/>
              <w:right w:val="single" w:sz="8" w:color="654A8E"/>
            </w:tcBorders>
          </w:tcPr>
          <w:p>
            <w:pPr>
              <w:spacing w:after="40"/>
            </w:pPr>
            <w:r>
              <w:rPr>
                <w:rFonts w:ascii="Aptos" w:hAnsi="Aptos"/>
                <w:b/>
                <w:color w:val="16324F"/>
                <w:sz w:val="21"/>
              </w:rPr>
              <w:t>Use the browser before training</w:t>
            </w:r>
          </w:p>
          <w:p>
            <w:pPr>
              <w:spacing w:after="0" w:line="252" w:lineRule="auto"/>
            </w:pPr>
            <w:r>
              <w:rPr>
                <w:rFonts w:ascii="Aptos" w:hAnsi="Aptos"/>
                <w:sz w:val="19"/>
              </w:rPr>
              <w:t>Verify the current official fine-tuning library documentation for the selected model architecture, supported precision, tokenizer/template, PEFT/QLoRA settings, known compatibility issues and recommended export path. Save the exact versions used.</w:t>
            </w:r>
          </w:p>
        </w:tc>
      </w:tr>
    </w:tbl>
    <w:p>
      <w:r/>
    </w:p>
    <w:p>
      <w:pPr>
        <w:pStyle w:val="Heading1"/>
        <w:keepNext/>
        <w:spacing w:before="240" w:after="100"/>
      </w:pPr>
      <w:r>
        <w:t>12. Phase 9 — Quantization and Local Runtime</w:t>
      </w:r>
    </w:p>
    <w:p>
      <w:pPr>
        <w:spacing w:after="80" w:line="259" w:lineRule="auto"/>
      </w:pPr>
      <w:r>
        <w:rPr>
          <w:rFonts w:ascii="Aptos" w:hAnsi="Aptos"/>
          <w:sz w:val="20"/>
        </w:rPr>
        <w:t>Quantization is not only 'make the model 4-bit'. VJLM must measure the quality/speed/memory trade-off on the final tuned model and target CPU.</w:t>
      </w:r>
    </w:p>
    <w:p>
      <w:pPr>
        <w:pStyle w:val="Heading2"/>
        <w:keepNext/>
        <w:spacing w:before="160" w:after="60"/>
      </w:pPr>
      <w:r>
        <w:t>Candidate comparison</w:t>
      </w:r>
    </w:p>
    <w:p>
      <w:pPr>
        <w:pStyle w:val="ListBullet"/>
        <w:spacing w:after="30" w:line="252" w:lineRule="auto"/>
      </w:pPr>
      <w:r>
        <w:rPr>
          <w:rFonts w:ascii="Aptos" w:hAnsi="Aptos"/>
          <w:sz w:val="19"/>
        </w:rPr>
        <w:t>Verify the selected model's current llama.cpp/GGUF support using the inbuilt browser and official repository/model documentation.</w:t>
      </w:r>
    </w:p>
    <w:p>
      <w:pPr>
        <w:pStyle w:val="ListBullet"/>
        <w:spacing w:after="30" w:line="252" w:lineRule="auto"/>
      </w:pPr>
      <w:r>
        <w:rPr>
          <w:rFonts w:ascii="Aptos" w:hAnsi="Aptos"/>
          <w:sz w:val="19"/>
        </w:rPr>
        <w:t>Export a high-quality reference build first.</w:t>
      </w:r>
    </w:p>
    <w:p>
      <w:pPr>
        <w:pStyle w:val="ListBullet"/>
        <w:spacing w:after="30" w:line="252" w:lineRule="auto"/>
      </w:pPr>
      <w:r>
        <w:rPr>
          <w:rFonts w:ascii="Aptos" w:hAnsi="Aptos"/>
          <w:sz w:val="19"/>
        </w:rPr>
        <w:t>Create several practical quantizations supported by the runtime (for example, representative 4-, 5-, 6- and 8-bit variants where supported).</w:t>
      </w:r>
    </w:p>
    <w:p>
      <w:pPr>
        <w:pStyle w:val="ListBullet"/>
        <w:spacing w:after="30" w:line="252" w:lineRule="auto"/>
      </w:pPr>
      <w:r>
        <w:rPr>
          <w:rFonts w:ascii="Aptos" w:hAnsi="Aptos"/>
          <w:sz w:val="19"/>
        </w:rPr>
        <w:t>Run the same VJLM benchmark for every quantization.</w:t>
      </w:r>
    </w:p>
    <w:p>
      <w:pPr>
        <w:pStyle w:val="ListBullet"/>
        <w:spacing w:after="30" w:line="252" w:lineRule="auto"/>
      </w:pPr>
      <w:r>
        <w:rPr>
          <w:rFonts w:ascii="Aptos" w:hAnsi="Aptos"/>
          <w:sz w:val="19"/>
        </w:rPr>
        <w:t>Measure model file size, peak RAM, load time, first-token latency, tokens/sec and quality delta from the reference.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08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Metric</w:t>
            </w:r>
          </w:p>
        </w:tc>
        <w:tc>
          <w:tcPr>
            <w:tcW w:type="dxa" w:w="2664"/>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Why</w:t>
            </w:r>
          </w:p>
        </w:tc>
        <w:tc>
          <w:tcPr>
            <w:tcW w:type="dxa" w:w="3024"/>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Minimum acceptance idea</w:t>
            </w:r>
          </w:p>
        </w:tc>
        <w:tc>
          <w:tcPr>
            <w:tcW w:type="dxa" w:w="252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Record</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Quality delta</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Avoid excessive degradation</w:t>
            </w:r>
          </w:p>
        </w:tc>
        <w:tc>
          <w:tcPr>
            <w:tcW w:type="dxa" w:w="302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No material loss on VJLM benchmark</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Correctness/faithfulness</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Peak RAM</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Must fit target laptop/server</w:t>
            </w:r>
          </w:p>
        </w:tc>
        <w:tc>
          <w:tcPr>
            <w:tcW w:type="dxa" w:w="302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Below available RAM with safety margin</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GB</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Generation speed</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Usability</w:t>
            </w:r>
          </w:p>
        </w:tc>
        <w:tc>
          <w:tcPr>
            <w:tcW w:type="dxa" w:w="302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Acceptable interactive speed</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tokens/sec</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First-token latency</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Perceived responsiveness</w:t>
            </w:r>
          </w:p>
        </w:tc>
        <w:tc>
          <w:tcPr>
            <w:tcW w:type="dxa" w:w="302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Acceptable for chat UI</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seconds</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File size</w:t>
            </w:r>
          </w:p>
        </w:tc>
        <w:tc>
          <w:tcPr>
            <w:tcW w:type="dxa" w:w="26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Deployment/storage</w:t>
            </w:r>
          </w:p>
        </w:tc>
        <w:tc>
          <w:tcPr>
            <w:tcW w:type="dxa" w:w="302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Practical for local distribution</w:t>
            </w:r>
          </w:p>
        </w:tc>
        <w:tc>
          <w:tcPr>
            <w:tcW w:type="dxa" w:w="252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GB</w:t>
            </w:r>
          </w:p>
        </w:tc>
      </w:tr>
    </w:tbl>
    <w:p>
      <w:pPr>
        <w:pStyle w:val="Heading2"/>
        <w:keepNext/>
        <w:spacing w:before="160" w:after="60"/>
      </w:pPr>
      <w:r>
        <w:t>Selection rule</w:t>
      </w:r>
    </w:p>
    <w:tbl>
      <w:tblPr>
        <w:tblW w:type="auto" w:w="0"/>
        <w:jc w:val="center"/>
        <w:tblLook w:firstColumn="1" w:firstRow="1" w:lastColumn="0" w:lastRow="0" w:noHBand="0" w:noVBand="1" w:val="04A0"/>
      </w:tblPr>
      <w:tblGrid>
        <w:gridCol w:w="10282"/>
      </w:tblGrid>
      <w:tr>
        <w:trPr>
          <w:cantSplit/>
        </w:trPr>
        <w:tc>
          <w:tcPr>
            <w:tcW w:type="dxa" w:w="10282"/>
            <w:shd w:fill="E8F5F4"/>
            <w:tcMar>
              <w:top w:w="100" w:type="dxa"/>
              <w:start w:w="140" w:type="dxa"/>
              <w:bottom w:w="100" w:type="dxa"/>
              <w:end w:w="140" w:type="dxa"/>
            </w:tcMar>
            <w:tcBorders>
              <w:top w:val="single" w:sz="8" w:color="1F7A8C"/>
              <w:left w:val="single" w:sz="8" w:color="1F7A8C"/>
              <w:bottom w:val="single" w:sz="8" w:color="1F7A8C"/>
              <w:right w:val="single" w:sz="8" w:color="1F7A8C"/>
            </w:tcBorders>
          </w:tcPr>
          <w:p>
            <w:pPr>
              <w:spacing w:after="40"/>
            </w:pPr>
            <w:r>
              <w:rPr>
                <w:rFonts w:ascii="Aptos" w:hAnsi="Aptos"/>
                <w:b/>
                <w:color w:val="16324F"/>
                <w:sz w:val="21"/>
              </w:rPr>
              <w:t>Quantization decision</w:t>
            </w:r>
          </w:p>
          <w:p>
            <w:pPr>
              <w:spacing w:after="0" w:line="252" w:lineRule="auto"/>
            </w:pPr>
            <w:r>
              <w:rPr>
                <w:rFonts w:ascii="Aptos" w:hAnsi="Aptos"/>
                <w:sz w:val="19"/>
              </w:rPr>
              <w:t>Choose the smallest quantization that still passes the VJLM quality threshold and gives acceptable local latency. Do not automatically choose the smallest file.</w:t>
            </w:r>
          </w:p>
        </w:tc>
      </w:tr>
    </w:tbl>
    <w:p>
      <w:r/>
    </w:p>
    <w:p>
      <w:pPr>
        <w:pStyle w:val="Heading1"/>
        <w:keepNext/>
        <w:spacing w:before="240" w:after="100"/>
      </w:pPr>
      <w:r>
        <w:t>13. Phase 10 — Authentication and RBAC</w:t>
      </w:r>
    </w:p>
    <w:p>
      <w:pPr>
        <w:spacing w:after="80" w:line="259" w:lineRule="auto"/>
      </w:pPr>
      <w:r>
        <w:rPr>
          <w:rFonts w:ascii="Aptos" w:hAnsi="Aptos"/>
          <w:sz w:val="20"/>
        </w:rPr>
        <w:t>Phase 1 uses public website data, but the RBAC architecture should be implemented now so login-only data can be added later without redesigning retrieval.</w:t>
      </w:r>
    </w:p>
    <w:p>
      <w:pPr>
        <w:pStyle w:val="Heading2"/>
        <w:keepNext/>
        <w:spacing w:before="160" w:after="60"/>
      </w:pPr>
      <w:r>
        <w:t>Rules</w:t>
      </w:r>
    </w:p>
    <w:p>
      <w:pPr>
        <w:pStyle w:val="ListBullet"/>
        <w:spacing w:after="30" w:line="252" w:lineRule="auto"/>
      </w:pPr>
      <w:r>
        <w:rPr>
          <w:rFonts w:ascii="Aptos" w:hAnsi="Aptos"/>
          <w:sz w:val="19"/>
        </w:rPr>
        <w:t>Authenticate user identity separately from the LLM.</w:t>
      </w:r>
    </w:p>
    <w:p>
      <w:pPr>
        <w:pStyle w:val="ListBullet"/>
        <w:spacing w:after="30" w:line="252" w:lineRule="auto"/>
      </w:pPr>
      <w:r>
        <w:rPr>
          <w:rFonts w:ascii="Aptos" w:hAnsi="Aptos"/>
          <w:sz w:val="19"/>
        </w:rPr>
        <w:t>Map identity to an authoritative role: student, faculty, admin, parent, etc. Phase 1 enables student/faculty.</w:t>
      </w:r>
    </w:p>
    <w:p>
      <w:pPr>
        <w:pStyle w:val="ListBullet"/>
        <w:spacing w:after="30" w:line="252" w:lineRule="auto"/>
      </w:pPr>
      <w:r>
        <w:rPr>
          <w:rFonts w:ascii="Aptos" w:hAnsi="Aptos"/>
          <w:sz w:val="19"/>
        </w:rPr>
        <w:t>Store allowed_roles/visibility metadata on documents/chunks.</w:t>
      </w:r>
    </w:p>
    <w:p>
      <w:pPr>
        <w:pStyle w:val="ListBullet"/>
        <w:spacing w:after="30" w:line="252" w:lineRule="auto"/>
      </w:pPr>
      <w:r>
        <w:rPr>
          <w:rFonts w:ascii="Aptos" w:hAnsi="Aptos"/>
          <w:sz w:val="19"/>
        </w:rPr>
        <w:t>Filter unauthorized data before retrieval results are passed to the prompt builder.</w:t>
      </w:r>
    </w:p>
    <w:p>
      <w:pPr>
        <w:pStyle w:val="ListBullet"/>
        <w:spacing w:after="30" w:line="252" w:lineRule="auto"/>
      </w:pPr>
      <w:r>
        <w:rPr>
          <w:rFonts w:ascii="Aptos" w:hAnsi="Aptos"/>
          <w:sz w:val="19"/>
        </w:rPr>
        <w:t>Never ask the model to decide whether a user is authorized.</w:t>
      </w:r>
    </w:p>
    <w:p>
      <w:pPr>
        <w:pStyle w:val="ListBullet"/>
        <w:spacing w:after="30" w:line="252" w:lineRule="auto"/>
      </w:pPr>
      <w:r>
        <w:rPr>
          <w:rFonts w:ascii="Aptos" w:hAnsi="Aptos"/>
          <w:sz w:val="19"/>
        </w:rPr>
        <w:t>Never store passwords/credentials inside prompts, fine-tuning data or the vector database.</w:t>
      </w:r>
    </w:p>
    <w:p>
      <w:pPr>
        <w:pStyle w:val="ListBullet"/>
        <w:spacing w:after="30" w:line="252" w:lineRule="auto"/>
      </w:pPr>
      <w:r>
        <w:rPr>
          <w:rFonts w:ascii="Aptos" w:hAnsi="Aptos"/>
          <w:sz w:val="19"/>
        </w:rPr>
        <w:t>For public data, role may change retrieval priority/answer framing even when both roles are allowed to access the source.</w:t>
      </w:r>
    </w:p>
    <w:p>
      <w:pPr>
        <w:pStyle w:val="Heading2"/>
        <w:keepNext/>
        <w:spacing w:before="160" w:after="60"/>
      </w:pPr>
      <w:r>
        <w:t>Future-proof access flow</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login/authentication</w:t>
              <w:br/>
              <w:t xml:space="preserve">       ↓</w:t>
              <w:br/>
              <w:t>trusted user_id + role</w:t>
              <w:br/>
              <w:t xml:space="preserve">       ↓</w:t>
              <w:br/>
              <w:t>RBAC policy</w:t>
              <w:br/>
              <w:t xml:space="preserve">       ↓</w:t>
              <w:br/>
              <w:t>query + allowed metadata filters</w:t>
              <w:br/>
              <w:t xml:space="preserve">       ↓</w:t>
              <w:br/>
              <w:t>retrieval</w:t>
              <w:br/>
              <w:t xml:space="preserve">       ↓</w:t>
              <w:br/>
              <w:t>only authorized context</w:t>
              <w:br/>
              <w:t xml:space="preserve">       ↓</w:t>
              <w:br/>
              <w:t>prompt builder → local SLM</w:t>
            </w:r>
          </w:p>
        </w:tc>
      </w:tr>
    </w:tbl>
    <w:p>
      <w:pPr>
        <w:pStyle w:val="Heading1"/>
        <w:keepNext/>
        <w:spacing w:before="240" w:after="100"/>
      </w:pPr>
      <w:r>
        <w:t>14. Phase 11 — Role-Aware Retrieval</w:t>
      </w:r>
    </w:p>
    <w:p>
      <w:pPr>
        <w:spacing w:after="80" w:line="259" w:lineRule="auto"/>
      </w:pPr>
      <w:r>
        <w:rPr>
          <w:rFonts w:ascii="Aptos" w:hAnsi="Aptos"/>
          <w:sz w:val="20"/>
        </w:rPr>
        <w:t>Role-aware retrieval is not merely 'tell the model you are a student'. The retrieval layer itself must use role and source metadata.</w:t>
      </w:r>
    </w:p>
    <w:p>
      <w:pPr>
        <w:pStyle w:val="ListBullet"/>
        <w:spacing w:after="30" w:line="252" w:lineRule="auto"/>
      </w:pPr>
      <w:r>
        <w:rPr>
          <w:rFonts w:ascii="Aptos" w:hAnsi="Aptos"/>
          <w:sz w:val="19"/>
        </w:rPr>
        <w:t>Filter by visibility/allowed role first.</w:t>
      </w:r>
    </w:p>
    <w:p>
      <w:pPr>
        <w:pStyle w:val="ListBullet"/>
        <w:spacing w:after="30" w:line="252" w:lineRule="auto"/>
      </w:pPr>
      <w:r>
        <w:rPr>
          <w:rFonts w:ascii="Aptos" w:hAnsi="Aptos"/>
          <w:sz w:val="19"/>
        </w:rPr>
        <w:t>Apply metadata filters only when they improve precision: department, regulation, academic year, document type, source type.</w:t>
      </w:r>
    </w:p>
    <w:p>
      <w:pPr>
        <w:pStyle w:val="ListBullet"/>
        <w:spacing w:after="30" w:line="252" w:lineRule="auto"/>
      </w:pPr>
      <w:r>
        <w:rPr>
          <w:rFonts w:ascii="Aptos" w:hAnsi="Aptos"/>
          <w:sz w:val="19"/>
        </w:rPr>
        <w:t>Avoid over-filtering when metadata is incomplete; benchmark false negatives.</w:t>
      </w:r>
    </w:p>
    <w:p>
      <w:pPr>
        <w:pStyle w:val="ListBullet"/>
        <w:spacing w:after="30" w:line="252" w:lineRule="auto"/>
      </w:pPr>
      <w:r>
        <w:rPr>
          <w:rFonts w:ascii="Aptos" w:hAnsi="Aptos"/>
          <w:sz w:val="19"/>
        </w:rPr>
        <w:t>Use role-specific ranking boosts where the same public information is organized differently for student/faculty use.</w:t>
      </w:r>
    </w:p>
    <w:p>
      <w:pPr>
        <w:pStyle w:val="ListBullet"/>
        <w:spacing w:after="30" w:line="252" w:lineRule="auto"/>
      </w:pPr>
      <w:r>
        <w:rPr>
          <w:rFonts w:ascii="Aptos" w:hAnsi="Aptos"/>
          <w:sz w:val="19"/>
        </w:rPr>
        <w:t>Return source identifiers and citations with every selected chunk.</w:t>
      </w:r>
    </w:p>
    <w:p>
      <w:pPr>
        <w:pStyle w:val="Heading2"/>
        <w:keepNext/>
        <w:spacing w:before="160" w:after="60"/>
      </w:pPr>
      <w:r>
        <w:t>Role-aware retrieval tests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312"/>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Test</w:t>
            </w:r>
          </w:p>
        </w:tc>
        <w:tc>
          <w:tcPr>
            <w:tcW w:type="dxa" w:w="3528"/>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Student result</w:t>
            </w:r>
          </w:p>
        </w:tc>
        <w:tc>
          <w:tcPr>
            <w:tcW w:type="dxa" w:w="3528"/>
            <w:vAlign w:val="center"/>
            <w:shd w:fill="16324F"/>
            <w:tcMar>
              <w:top w:w="60" w:type="dxa"/>
              <w:start w:w="90" w:type="dxa"/>
              <w:bottom w:w="60" w:type="dxa"/>
              <w:end w:w="90" w:type="dxa"/>
            </w:tcMar>
          </w:tcPr>
          <w:p>
            <w:pPr>
              <w:spacing w:after="0" w:before="0"/>
            </w:pPr>
            <w:r>
              <w:rPr>
                <w:rFonts w:ascii="Aptos" w:hAnsi="Aptos"/>
                <w:b/>
                <w:color w:val="FFFFFF"/>
                <w:sz w:val="17"/>
              </w:rPr>
            </w:r>
            <w:r>
              <w:rPr>
                <w:rFonts w:ascii="Aptos" w:hAnsi="Aptos"/>
                <w:b/>
                <w:color w:val="FFFFFF"/>
                <w:sz w:val="17"/>
              </w:rPr>
              <w:t>Faculty result</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Same public regulation question</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Relevant regulation; student-oriented answer later</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Same evidence; faculty-oriented answer later</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Faculty-facing public process</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May retrieve only if public and useful</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Higher priority</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Future private student record</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Only own permitted data</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No access unless explicitly authorized by policy</w:t>
            </w:r>
          </w:p>
        </w:tc>
      </w:tr>
      <w:tr>
        <w:tc>
          <w:tcPr>
            <w:tcW w:type="dxa" w:w="3312"/>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Future internal faculty document</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Denied</w:t>
            </w:r>
          </w:p>
        </w:tc>
        <w:tc>
          <w:tcPr>
            <w:tcW w:type="dxa" w:w="3528"/>
            <w:vAlign w:val="center"/>
            <w:tcMar>
              <w:top w:w="60" w:type="dxa"/>
              <w:start w:w="90" w:type="dxa"/>
              <w:bottom w:w="60" w:type="dxa"/>
              <w:end w:w="90" w:type="dxa"/>
            </w:tcMar>
          </w:tcPr>
          <w:p>
            <w:pPr>
              <w:spacing w:after="0" w:before="0"/>
            </w:pPr>
            <w:r>
              <w:rPr>
                <w:rFonts w:ascii="Aptos" w:hAnsi="Aptos"/>
                <w:sz w:val="17"/>
              </w:rPr>
            </w:r>
            <w:r>
              <w:rPr>
                <w:rFonts w:ascii="Aptos" w:hAnsi="Aptos"/>
                <w:b w:val="0"/>
                <w:sz w:val="17"/>
              </w:rPr>
              <w:t>Allowed only for authorized faculty scope</w:t>
            </w:r>
          </w:p>
        </w:tc>
      </w:tr>
    </w:tbl>
    <w:p>
      <w:r/>
    </w:p>
    <w:p>
      <w:pPr>
        <w:pStyle w:val="Heading1"/>
        <w:keepNext/>
        <w:spacing w:before="240" w:after="100"/>
      </w:pPr>
      <w:r>
        <w:t>15. Phase 12 — Prompt Builder</w:t>
      </w:r>
    </w:p>
    <w:p>
      <w:pPr>
        <w:pStyle w:val="Heading2"/>
        <w:keepNext/>
        <w:spacing w:before="160" w:after="60"/>
      </w:pPr>
      <w:r>
        <w:t>Prompt assembly order</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SYSTEM: VJLM identity + safety/grounding rules</w:t>
              <w:br/>
              <w:t>ROLE: authenticated role and role-specific response instructions</w:t>
              <w:br/>
              <w:t>QUERY: user's question</w:t>
              <w:br/>
              <w:t>CONTEXT: authorized retrieved chunks with source IDs</w:t>
              <w:br/>
              <w:t>OUTPUT RULES: answer from evidence, distinguish uncertainty, cite sources,</w:t>
              <w:br/>
              <w:t xml:space="preserve">              say when the answer is not in the available knowledge</w:t>
            </w:r>
          </w:p>
        </w:tc>
      </w:tr>
    </w:tbl>
    <w:p>
      <w:pPr>
        <w:pStyle w:val="Heading2"/>
        <w:keepNext/>
        <w:spacing w:before="160" w:after="60"/>
      </w:pPr>
      <w:r>
        <w:t>Prompt design requirements</w:t>
      </w:r>
    </w:p>
    <w:p>
      <w:pPr>
        <w:pStyle w:val="ListBullet"/>
        <w:spacing w:after="30" w:line="252" w:lineRule="auto"/>
      </w:pPr>
      <w:r>
        <w:rPr>
          <w:rFonts w:ascii="Aptos" w:hAnsi="Aptos"/>
          <w:sz w:val="19"/>
        </w:rPr>
        <w:t>Keep system/role instructions stable and version-controlled.</w:t>
      </w:r>
    </w:p>
    <w:p>
      <w:pPr>
        <w:pStyle w:val="ListBullet"/>
        <w:spacing w:after="30" w:line="252" w:lineRule="auto"/>
      </w:pPr>
      <w:r>
        <w:rPr>
          <w:rFonts w:ascii="Aptos" w:hAnsi="Aptos"/>
          <w:sz w:val="19"/>
        </w:rPr>
        <w:t>Do not put access-control decisions in the prompt; RBAC must already have filtered the context.</w:t>
      </w:r>
    </w:p>
    <w:p>
      <w:pPr>
        <w:pStyle w:val="ListBullet"/>
        <w:spacing w:after="30" w:line="252" w:lineRule="auto"/>
      </w:pPr>
      <w:r>
        <w:rPr>
          <w:rFonts w:ascii="Aptos" w:hAnsi="Aptos"/>
          <w:sz w:val="19"/>
        </w:rPr>
        <w:t>Explicitly instruct the model to prefer retrieved authoritative evidence over memorized fine-tuned facts when they conflict.</w:t>
      </w:r>
    </w:p>
    <w:p>
      <w:pPr>
        <w:pStyle w:val="ListBullet"/>
        <w:spacing w:after="30" w:line="252" w:lineRule="auto"/>
      </w:pPr>
      <w:r>
        <w:rPr>
          <w:rFonts w:ascii="Aptos" w:hAnsi="Aptos"/>
          <w:sz w:val="19"/>
        </w:rPr>
        <w:t>Require citations/source IDs for factual answers when retrieval was used.</w:t>
      </w:r>
    </w:p>
    <w:p>
      <w:pPr>
        <w:pStyle w:val="ListBullet"/>
        <w:spacing w:after="30" w:line="252" w:lineRule="auto"/>
      </w:pPr>
      <w:r>
        <w:rPr>
          <w:rFonts w:ascii="Aptos" w:hAnsi="Aptos"/>
          <w:sz w:val="19"/>
        </w:rPr>
        <w:t>Provide an abstention path: 'I could not find this in the available VNRVJIET sources' rather than fabrication.</w:t>
      </w:r>
    </w:p>
    <w:p>
      <w:pPr>
        <w:pStyle w:val="ListBullet"/>
        <w:spacing w:after="30" w:line="252" w:lineRule="auto"/>
      </w:pPr>
      <w:r>
        <w:rPr>
          <w:rFonts w:ascii="Aptos" w:hAnsi="Aptos"/>
          <w:sz w:val="19"/>
        </w:rPr>
        <w:t>Test prompt versions on the same benchmark instead of changing prompts informally.</w:t>
      </w:r>
    </w:p>
    <w:p>
      <w:pPr>
        <w:pStyle w:val="Heading1"/>
        <w:keepNext/>
        <w:spacing w:before="240" w:after="100"/>
      </w:pPr>
      <w:r>
        <w:t>16. Phase 13 — UI and Integration</w:t>
      </w:r>
    </w:p>
    <w:p>
      <w:pPr>
        <w:pStyle w:val="ListBullet"/>
        <w:spacing w:after="30" w:line="252" w:lineRule="auto"/>
      </w:pPr>
      <w:r>
        <w:rPr>
          <w:rFonts w:ascii="Aptos" w:hAnsi="Aptos"/>
          <w:sz w:val="19"/>
        </w:rPr>
        <w:t>Student/faculty login (or Phase 1 role simulation during development).</w:t>
      </w:r>
    </w:p>
    <w:p>
      <w:pPr>
        <w:pStyle w:val="ListBullet"/>
        <w:spacing w:after="30" w:line="252" w:lineRule="auto"/>
      </w:pPr>
      <w:r>
        <w:rPr>
          <w:rFonts w:ascii="Aptos" w:hAnsi="Aptos"/>
          <w:sz w:val="19"/>
        </w:rPr>
        <w:t>Chat interface with clear role display.</w:t>
      </w:r>
    </w:p>
    <w:p>
      <w:pPr>
        <w:pStyle w:val="ListBullet"/>
        <w:spacing w:after="30" w:line="252" w:lineRule="auto"/>
      </w:pPr>
      <w:r>
        <w:rPr>
          <w:rFonts w:ascii="Aptos" w:hAnsi="Aptos"/>
          <w:sz w:val="19"/>
        </w:rPr>
        <w:t>Answer with clickable/inspectable source citations.</w:t>
      </w:r>
    </w:p>
    <w:p>
      <w:pPr>
        <w:pStyle w:val="ListBullet"/>
        <w:spacing w:after="30" w:line="252" w:lineRule="auto"/>
      </w:pPr>
      <w:r>
        <w:rPr>
          <w:rFonts w:ascii="Aptos" w:hAnsi="Aptos"/>
          <w:sz w:val="19"/>
        </w:rPr>
        <w:t>Optional source panel showing title, document type and URL.</w:t>
      </w:r>
    </w:p>
    <w:p>
      <w:pPr>
        <w:pStyle w:val="ListBullet"/>
        <w:spacing w:after="30" w:line="252" w:lineRule="auto"/>
      </w:pPr>
      <w:r>
        <w:rPr>
          <w:rFonts w:ascii="Aptos" w:hAnsi="Aptos"/>
          <w:sz w:val="19"/>
        </w:rPr>
        <w:t>Feedback controls for wrong answer / wrong source / stale information.</w:t>
      </w:r>
    </w:p>
    <w:p>
      <w:pPr>
        <w:pStyle w:val="ListBullet"/>
        <w:spacing w:after="30" w:line="252" w:lineRule="auto"/>
      </w:pPr>
      <w:r>
        <w:rPr>
          <w:rFonts w:ascii="Aptos" w:hAnsi="Aptos"/>
          <w:sz w:val="19"/>
        </w:rPr>
        <w:t>Admin/developer diagnostics page for ingestion status, last refresh, source failures and model/runtime health.</w:t>
      </w:r>
    </w:p>
    <w:p>
      <w:pPr>
        <w:pStyle w:val="ListBullet"/>
        <w:spacing w:after="30" w:line="252" w:lineRule="auto"/>
      </w:pPr>
      <w:r>
        <w:rPr>
          <w:rFonts w:ascii="Aptos" w:hAnsi="Aptos"/>
          <w:sz w:val="19"/>
        </w:rPr>
        <w:t>Do not expose internal prompt text, hidden metadata or unauthorized source snippets.</w:t>
      </w:r>
    </w:p>
    <w:p>
      <w:pPr>
        <w:pStyle w:val="Heading2"/>
        <w:keepNext/>
        <w:spacing w:before="160" w:after="60"/>
      </w:pPr>
      <w:r>
        <w:t>Minimum API/backend modules</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auth/</w:t>
              <w:br/>
              <w:t>ingestion/</w:t>
              <w:br/>
              <w:t>preprocessing/</w:t>
              <w:br/>
              <w:t>retrieval/</w:t>
              <w:br/>
              <w:t>prompting/</w:t>
              <w:br/>
              <w:t>inference/</w:t>
              <w:br/>
              <w:t>citations/</w:t>
              <w:br/>
              <w:t>evaluation/</w:t>
              <w:br/>
              <w:t>monitoring/</w:t>
            </w:r>
          </w:p>
        </w:tc>
      </w:tr>
    </w:tbl>
    <w:p>
      <w:r/>
    </w:p>
    <w:p>
      <w:pPr>
        <w:pStyle w:val="Heading1"/>
        <w:keepNext/>
        <w:spacing w:before="240" w:after="100"/>
      </w:pPr>
      <w:r>
        <w:t>17. Phase 14 — Final Evaluation and Ablation</w:t>
      </w:r>
    </w:p>
    <w:p>
      <w:pPr>
        <w:pStyle w:val="Heading2"/>
        <w:keepNext/>
        <w:spacing w:before="160" w:after="60"/>
      </w:pPr>
      <w:r>
        <w:t>17.1 End-to-end evaluation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Dimension</w:t>
            </w:r>
          </w:p>
        </w:tc>
        <w:tc>
          <w:tcPr>
            <w:tcW w:type="dxa" w:w="5400"/>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Questions/tests</w:t>
            </w:r>
          </w:p>
        </w:tc>
        <w:tc>
          <w:tcPr>
            <w:tcW w:type="dxa" w:w="3456"/>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Metric</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Factual correctness</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Does answer match authoritative VNR source?</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Accuracy / human rubric</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Retrieval quality</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Was correct source/chunk found?</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Recall@k, MRR/nDCG</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Faithfulness</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Is every claim supported by retrieved evidence?</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Faithfulness score / human check</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Citation quality</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Does citation point to supporting source?</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Citation precision</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Role behavior</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Is answer appropriate to student/faculty?</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Role-consistency rubric</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Access control</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Can unauthorized context ever reach the model?</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Zero leakage target</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Freshness</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After a source update, does answer reflect new content?</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Update propagation test</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Hallucination</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Does system abstain when evidence is missing?</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Unsupported-claim rate</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Performance</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Can it run locally?</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RAM, first-token, tokens/sec</w:t>
            </w:r>
          </w:p>
        </w:tc>
      </w:tr>
      <w:tr>
        <w:tc>
          <w:tcPr>
            <w:tcW w:type="dxa" w:w="208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Maintainability</w:t>
            </w:r>
          </w:p>
        </w:tc>
        <w:tc>
          <w:tcPr>
            <w:tcW w:type="dxa" w:w="5400"/>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Can ingestion recover from failures/site changes?</w:t>
            </w:r>
          </w:p>
        </w:tc>
        <w:tc>
          <w:tcPr>
            <w:tcW w:type="dxa" w:w="3456"/>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Regression/failure tests</w:t>
            </w:r>
          </w:p>
        </w:tc>
      </w:tr>
    </w:tbl>
    <w:p>
      <w:pPr>
        <w:pStyle w:val="Heading2"/>
        <w:keepNext/>
        <w:spacing w:before="160" w:after="60"/>
      </w:pPr>
      <w:r>
        <w:t>17.2 Required ablation studies</w:t>
      </w:r>
    </w:p>
    <w:p>
      <w:pPr>
        <w:pStyle w:val="ListBullet"/>
        <w:spacing w:after="30" w:line="252" w:lineRule="auto"/>
      </w:pPr>
      <w:r>
        <w:rPr>
          <w:rFonts w:ascii="Aptos" w:hAnsi="Aptos"/>
          <w:sz w:val="19"/>
        </w:rPr>
        <w:t>Base model vs fine-tuned model.</w:t>
      </w:r>
    </w:p>
    <w:p>
      <w:pPr>
        <w:pStyle w:val="ListBullet"/>
        <w:spacing w:after="30" w:line="252" w:lineRule="auto"/>
      </w:pPr>
      <w:r>
        <w:rPr>
          <w:rFonts w:ascii="Aptos" w:hAnsi="Aptos"/>
          <w:sz w:val="19"/>
        </w:rPr>
        <w:t>No RAG vs RAG (for factual questions).</w:t>
      </w:r>
    </w:p>
    <w:p>
      <w:pPr>
        <w:pStyle w:val="ListBullet"/>
        <w:spacing w:after="30" w:line="252" w:lineRule="auto"/>
      </w:pPr>
      <w:r>
        <w:rPr>
          <w:rFonts w:ascii="Aptos" w:hAnsi="Aptos"/>
          <w:sz w:val="19"/>
        </w:rPr>
        <w:t>Dense vs BM25 vs hybrid retrieval.</w:t>
      </w:r>
    </w:p>
    <w:p>
      <w:pPr>
        <w:pStyle w:val="ListBullet"/>
        <w:spacing w:after="30" w:line="252" w:lineRule="auto"/>
      </w:pPr>
      <w:r>
        <w:rPr>
          <w:rFonts w:ascii="Aptos" w:hAnsi="Aptos"/>
          <w:sz w:val="19"/>
        </w:rPr>
        <w:t>With vs without reranker, if a reranker is considered.</w:t>
      </w:r>
    </w:p>
    <w:p>
      <w:pPr>
        <w:pStyle w:val="ListBullet"/>
        <w:spacing w:after="30" w:line="252" w:lineRule="auto"/>
      </w:pPr>
      <w:r>
        <w:rPr>
          <w:rFonts w:ascii="Aptos" w:hAnsi="Aptos"/>
          <w:sz w:val="19"/>
        </w:rPr>
        <w:t>Alternative chunking strategies.</w:t>
      </w:r>
    </w:p>
    <w:p>
      <w:pPr>
        <w:pStyle w:val="ListBullet"/>
        <w:spacing w:after="30" w:line="252" w:lineRule="auto"/>
      </w:pPr>
      <w:r>
        <w:rPr>
          <w:rFonts w:ascii="Aptos" w:hAnsi="Aptos"/>
          <w:sz w:val="19"/>
        </w:rPr>
        <w:t>Selected quantization vs higher-precision reference.</w:t>
      </w:r>
    </w:p>
    <w:p>
      <w:pPr>
        <w:pStyle w:val="ListBullet"/>
        <w:spacing w:after="30" w:line="252" w:lineRule="auto"/>
      </w:pPr>
      <w:r>
        <w:rPr>
          <w:rFonts w:ascii="Aptos" w:hAnsi="Aptos"/>
          <w:sz w:val="19"/>
        </w:rPr>
        <w:t>Role-aware filtering enabled vs disabled in controlled test data.</w:t>
      </w:r>
    </w:p>
    <w:p>
      <w:pPr>
        <w:pStyle w:val="ListBullet"/>
        <w:spacing w:after="30" w:line="252" w:lineRule="auto"/>
      </w:pPr>
      <w:r>
        <w:rPr>
          <w:rFonts w:ascii="Aptos" w:hAnsi="Aptos"/>
          <w:sz w:val="19"/>
        </w:rPr>
        <w:t>Old source version vs dynamically updated source version to prove freshness.</w:t>
      </w:r>
    </w:p>
    <w:p>
      <w:pPr>
        <w:pStyle w:val="Heading2"/>
        <w:keepNext/>
        <w:spacing w:before="160" w:after="60"/>
      </w:pPr>
      <w:r>
        <w:t>Final acceptance rule</w:t>
      </w:r>
    </w:p>
    <w:tbl>
      <w:tblPr>
        <w:tblW w:type="auto" w:w="0"/>
        <w:jc w:val="center"/>
        <w:tblLook w:firstColumn="1" w:firstRow="1" w:lastColumn="0" w:lastRow="0" w:noHBand="0" w:noVBand="1" w:val="04A0"/>
      </w:tblPr>
      <w:tblGrid>
        <w:gridCol w:w="10282"/>
      </w:tblGrid>
      <w:tr>
        <w:trPr>
          <w:cantSplit/>
        </w:trPr>
        <w:tc>
          <w:tcPr>
            <w:tcW w:type="dxa" w:w="10282"/>
            <w:shd w:fill="E8F5F4"/>
            <w:tcMar>
              <w:top w:w="100" w:type="dxa"/>
              <w:start w:w="140" w:type="dxa"/>
              <w:bottom w:w="100" w:type="dxa"/>
              <w:end w:w="140" w:type="dxa"/>
            </w:tcMar>
            <w:tcBorders>
              <w:top w:val="single" w:sz="8" w:color="1F7A8C"/>
              <w:left w:val="single" w:sz="8" w:color="1F7A8C"/>
              <w:bottom w:val="single" w:sz="8" w:color="1F7A8C"/>
              <w:right w:val="single" w:sz="8" w:color="1F7A8C"/>
            </w:tcBorders>
          </w:tcPr>
          <w:p>
            <w:pPr>
              <w:spacing w:after="40"/>
            </w:pPr>
            <w:r>
              <w:rPr>
                <w:rFonts w:ascii="Aptos" w:hAnsi="Aptos"/>
                <w:b/>
                <w:color w:val="16324F"/>
                <w:sz w:val="21"/>
              </w:rPr>
              <w:t>VJLM is ready when</w:t>
            </w:r>
          </w:p>
          <w:p>
            <w:pPr>
              <w:spacing w:after="0" w:line="252" w:lineRule="auto"/>
            </w:pPr>
            <w:r>
              <w:rPr>
                <w:rFonts w:ascii="Aptos" w:hAnsi="Aptos"/>
                <w:sz w:val="19"/>
              </w:rPr>
              <w:t>The selected local model + RAG retrieves and answers the held-out VJLM benchmark reliably, citations are correct, dynamic updates propagate without manual re-indexing, role filters are enforced before prompting, and the quantized system meets the target machine's RAM/latency limits.</w:t>
            </w:r>
          </w:p>
        </w:tc>
      </w:tr>
    </w:tbl>
    <w:p>
      <w:r/>
    </w:p>
    <w:p>
      <w:pPr>
        <w:pStyle w:val="Heading1"/>
        <w:keepNext/>
        <w:spacing w:before="240" w:after="100"/>
      </w:pPr>
      <w:r>
        <w:t>18. Phase 15 — Maintenance After the Student Team Graduates</w:t>
      </w:r>
    </w:p>
    <w:p>
      <w:pPr>
        <w:pStyle w:val="ListBullet"/>
        <w:spacing w:after="30" w:line="252" w:lineRule="auto"/>
      </w:pPr>
      <w:r>
        <w:rPr>
          <w:rFonts w:ascii="Aptos" w:hAnsi="Aptos"/>
          <w:sz w:val="19"/>
        </w:rPr>
        <w:t>Scheduled source refresh by update frequency.</w:t>
      </w:r>
    </w:p>
    <w:p>
      <w:pPr>
        <w:pStyle w:val="ListBullet"/>
        <w:spacing w:after="30" w:line="252" w:lineRule="auto"/>
      </w:pPr>
      <w:r>
        <w:rPr>
          <w:rFonts w:ascii="Aptos" w:hAnsi="Aptos"/>
          <w:sz w:val="19"/>
        </w:rPr>
        <w:t>Automatic add/update/delete synchronization in the vector store.</w:t>
      </w:r>
    </w:p>
    <w:p>
      <w:pPr>
        <w:pStyle w:val="ListBullet"/>
        <w:spacing w:after="30" w:line="252" w:lineRule="auto"/>
      </w:pPr>
      <w:r>
        <w:rPr>
          <w:rFonts w:ascii="Aptos" w:hAnsi="Aptos"/>
          <w:sz w:val="19"/>
        </w:rPr>
        <w:t>Persist last successful crawl, hash and version per source.</w:t>
      </w:r>
    </w:p>
    <w:p>
      <w:pPr>
        <w:pStyle w:val="ListBullet"/>
        <w:spacing w:after="30" w:line="252" w:lineRule="auto"/>
      </w:pPr>
      <w:r>
        <w:rPr>
          <w:rFonts w:ascii="Aptos" w:hAnsi="Aptos"/>
          <w:sz w:val="19"/>
        </w:rPr>
        <w:t>Retry transient failures without deleting last-known-good knowledge.</w:t>
      </w:r>
    </w:p>
    <w:p>
      <w:pPr>
        <w:pStyle w:val="ListBullet"/>
        <w:spacing w:after="30" w:line="252" w:lineRule="auto"/>
      </w:pPr>
      <w:r>
        <w:rPr>
          <w:rFonts w:ascii="Aptos" w:hAnsi="Aptos"/>
          <w:sz w:val="19"/>
        </w:rPr>
        <w:t>Alert/log on parser failure, empty-content anomaly, HTTP errors or unusual page-count drops.</w:t>
      </w:r>
    </w:p>
    <w:p>
      <w:pPr>
        <w:pStyle w:val="ListBullet"/>
        <w:spacing w:after="30" w:line="252" w:lineRule="auto"/>
      </w:pPr>
      <w:r>
        <w:rPr>
          <w:rFonts w:ascii="Aptos" w:hAnsi="Aptos"/>
          <w:sz w:val="19"/>
        </w:rPr>
        <w:t>Periodic benchmark regression run after major website/parser/model changes.</w:t>
      </w:r>
    </w:p>
    <w:p>
      <w:pPr>
        <w:pStyle w:val="ListBullet"/>
        <w:spacing w:after="30" w:line="252" w:lineRule="auto"/>
      </w:pPr>
      <w:r>
        <w:rPr>
          <w:rFonts w:ascii="Aptos" w:hAnsi="Aptos"/>
          <w:sz w:val="19"/>
        </w:rPr>
        <w:t>Version model, embeddings and preprocessing configuration so the index can be rebuilt deterministically.</w:t>
      </w:r>
    </w:p>
    <w:p>
      <w:pPr>
        <w:pStyle w:val="ListBullet"/>
        <w:spacing w:after="30" w:line="252" w:lineRule="auto"/>
      </w:pPr>
      <w:r>
        <w:rPr>
          <w:rFonts w:ascii="Aptos" w:hAnsi="Aptos"/>
          <w:sz w:val="19"/>
        </w:rPr>
        <w:t>Keep an administrator runbook: how to re-crawl, rebuild index, update model, roll back a bad ingestion and inspect failures.</w:t>
      </w:r>
    </w:p>
    <w:p>
      <w:pPr>
        <w:pStyle w:val="Heading2"/>
        <w:keepNext/>
        <w:spacing w:before="160" w:after="60"/>
      </w:pPr>
      <w:r>
        <w:t>Maintenance state record</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source_id</w:t>
              <w:br/>
              <w:t>canonical_url</w:t>
              <w:br/>
              <w:t>last_seen</w:t>
              <w:br/>
              <w:t>last_success</w:t>
              <w:br/>
              <w:t>last_changed</w:t>
              <w:br/>
              <w:t>http_status</w:t>
              <w:br/>
              <w:t>etag</w:t>
              <w:br/>
              <w:t>last_modified</w:t>
              <w:br/>
              <w:t>normalized_hash</w:t>
              <w:br/>
              <w:t>parser_version</w:t>
              <w:br/>
              <w:t>document_version</w:t>
              <w:br/>
              <w:t>active</w:t>
              <w:br/>
              <w:t>last_error</w:t>
            </w:r>
          </w:p>
        </w:tc>
      </w:tr>
    </w:tbl>
    <w:p>
      <w:r/>
    </w:p>
    <w:p>
      <w:pPr>
        <w:pStyle w:val="Heading1"/>
        <w:keepNext/>
        <w:spacing w:before="240" w:after="100"/>
      </w:pPr>
      <w:r>
        <w:t>19. What Desktop AI Should Build First — Immediate Start Sequence</w:t>
      </w:r>
    </w:p>
    <w:p>
      <w:pPr>
        <w:spacing w:after="80" w:line="259" w:lineRule="auto"/>
      </w:pPr>
      <w:r>
        <w:rPr>
          <w:rFonts w:ascii="Aptos" w:hAnsi="Aptos"/>
          <w:sz w:val="20"/>
        </w:rPr>
        <w:t>This sequence gets a working system quickly without prematurely locking in technologies.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864"/>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Sprint</w:t>
            </w:r>
          </w:p>
        </w:tc>
        <w:tc>
          <w:tcPr>
            <w:tcW w:type="dxa" w:w="4608"/>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Desktop AI action</w:t>
            </w:r>
          </w:p>
        </w:tc>
        <w:tc>
          <w:tcPr>
            <w:tcW w:type="dxa" w:w="2592"/>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Do not do yet</w:t>
            </w:r>
          </w:p>
        </w:tc>
        <w:tc>
          <w:tcPr>
            <w:tcW w:type="dxa" w:w="2304"/>
            <w:vAlign w:val="center"/>
            <w:shd w:fill="16324F"/>
            <w:tcMar>
              <w:top w:w="60" w:type="dxa"/>
              <w:start w:w="90" w:type="dxa"/>
              <w:bottom w:w="60" w:type="dxa"/>
              <w:end w:w="90" w:type="dxa"/>
            </w:tcMar>
          </w:tcPr>
          <w:p>
            <w:pPr>
              <w:spacing w:after="0" w:before="0"/>
            </w:pPr>
            <w:r>
              <w:rPr>
                <w:rFonts w:ascii="Aptos" w:hAnsi="Aptos"/>
                <w:b/>
                <w:color w:val="FFFFFF"/>
                <w:sz w:val="16"/>
              </w:rPr>
            </w:r>
            <w:r>
              <w:rPr>
                <w:rFonts w:ascii="Aptos" w:hAnsi="Aptos"/>
                <w:b/>
                <w:color w:val="FFFFFF"/>
                <w:sz w:val="16"/>
              </w:rPr>
              <w:t>Output</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1</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Create repo skeleton, hardware profile, DECISIONS.md; inspect VNR website via browser; build source catalog for 10–20 representative public pages/PDFs.</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fine-tune a model.</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Foundation + source registry</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2</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Implement baseline targeted fetch/extract/snapshot/hash pipeline on the sample corpus. Add new/change/delete tests.</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crawl the entire domain.</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Working dynamic ingestion baseline</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3</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Implement RAG preprocessing + 2 chunking strategies; create first 50–100 benchmark questions with gold sources.</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pick an embedding model by popularity.</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Benchmark + processed corpus</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4</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Browser-research and benchmark 2–4 local embeddings; compare dense/BM25/hybrid; select vector store based on metadata/persistence needs.</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add a reranker unless baseline retrieval needs it.</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Selected baseline RAG</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5</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Browser-research 3–5 local SLM candidates; compare them with identical retrieved context on the target hardware.</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fine-tune before recording base scores.</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Base SLM decision</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6</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Build verified fine-tuning dataset; compare practical PEFT methods; tune and evaluate against base.</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train on held-out benchmark.</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Tuned VJLM candidate</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7</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Quantize and benchmark practical local formats; choose runtime/quantization.</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select only by smallest file.</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Deployable local model</w:t>
            </w:r>
          </w:p>
        </w:tc>
      </w:tr>
      <w:tr>
        <w:tc>
          <w:tcPr>
            <w:tcW w:type="dxa" w:w="86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8</w:t>
            </w:r>
          </w:p>
        </w:tc>
        <w:tc>
          <w:tcPr>
            <w:tcW w:type="dxa" w:w="4608"/>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Implement auth/RBAC, role-aware retrieval, prompt builder, UI and full evaluation.</w:t>
            </w:r>
          </w:p>
        </w:tc>
        <w:tc>
          <w:tcPr>
            <w:tcW w:type="dxa" w:w="2592"/>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Do not let prompt logic replace access control.</w:t>
            </w:r>
          </w:p>
        </w:tc>
        <w:tc>
          <w:tcPr>
            <w:tcW w:type="dxa" w:w="2304"/>
            <w:vAlign w:val="center"/>
            <w:tcMar>
              <w:top w:w="60" w:type="dxa"/>
              <w:start w:w="90" w:type="dxa"/>
              <w:bottom w:w="60" w:type="dxa"/>
              <w:end w:w="90" w:type="dxa"/>
            </w:tcMar>
          </w:tcPr>
          <w:p>
            <w:pPr>
              <w:spacing w:after="0" w:before="0"/>
            </w:pPr>
            <w:r>
              <w:rPr>
                <w:rFonts w:ascii="Aptos" w:hAnsi="Aptos"/>
                <w:sz w:val="16"/>
              </w:rPr>
            </w:r>
            <w:r>
              <w:rPr>
                <w:rFonts w:ascii="Aptos" w:hAnsi="Aptos"/>
                <w:b w:val="0"/>
                <w:sz w:val="16"/>
              </w:rPr>
              <w:t>End-to-end VJLM</w:t>
            </w:r>
          </w:p>
        </w:tc>
      </w:tr>
    </w:tbl>
    <w:p>
      <w:pPr>
        <w:pStyle w:val="Heading2"/>
        <w:keepNext/>
        <w:spacing w:before="160" w:after="60"/>
      </w:pPr>
      <w:r>
        <w:t>First instruction to give Desktop AI</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You are implementing VJLM from the attached master plan.</w:t>
              <w:br/>
              <w:br/>
              <w:t>Start only with Phase 0 and Phase 1.</w:t>
              <w:br/>
              <w:t>1. Inspect the current repository/workspace before changing anything.</w:t>
              <w:br/>
              <w:t>2. Create the proposed project structure, DECISIONS.md and hardware profile.</w:t>
              <w:br/>
              <w:t>3. Use your inbuilt browser to inspect the official VNRVJIET public website and build an initial source catalog for the student + faculty Phase-1 scope.</w:t>
              <w:br/>
              <w:t>4. Do not fine-tune, choose a model, or build the final RAG yet.</w:t>
              <w:br/>
              <w:t>5. Record every browser-verified source/technology decision with URL and date.</w:t>
              <w:br/>
              <w:t>6. At the end, report: files created, assumptions, source categories found, access matrix draft, blockers, and the exact next experiment.</w:t>
              <w:br/>
              <w:br/>
              <w:t>All VJLM runtime components must remain local; do not add external LLM APIs without explicit approval.</w:t>
            </w:r>
          </w:p>
        </w:tc>
      </w:tr>
    </w:tbl>
    <w:p>
      <w:r/>
    </w:p>
    <w:p>
      <w:pPr>
        <w:pStyle w:val="Heading1"/>
        <w:keepNext/>
        <w:spacing w:before="240" w:after="100"/>
      </w:pPr>
      <w:r>
        <w:t>20. Final VJLM System Blueprint</w:t>
      </w:r>
    </w:p>
    <w:tbl>
      <w:tblPr>
        <w:tblW w:type="auto" w:w="0"/>
        <w:tblLook w:firstColumn="1" w:firstRow="1" w:lastColumn="0" w:lastRow="0" w:noHBand="0" w:noVBand="1" w:val="04A0"/>
      </w:tblPr>
      <w:tblGrid>
        <w:gridCol w:w="10282"/>
      </w:tblGrid>
      <w:tr>
        <w:trPr>
          <w:cantSplit/>
        </w:trPr>
        <w:tc>
          <w:tcPr>
            <w:tcW w:type="dxa" w:w="10282"/>
            <w:shd w:fill="F5F6F7"/>
            <w:tcMar>
              <w:top w:w="90" w:type="dxa"/>
              <w:start w:w="120" w:type="dxa"/>
              <w:bottom w:w="90" w:type="dxa"/>
              <w:end w:w="120" w:type="dxa"/>
            </w:tcMar>
          </w:tcPr>
          <w:p>
            <w:pPr>
              <w:spacing w:after="0"/>
            </w:pPr>
            <w:r>
              <w:rPr>
                <w:rFonts w:ascii="Consolas" w:hAnsi="Consolas"/>
                <w:color w:val="1D2733"/>
                <w:sz w:val="17"/>
              </w:rPr>
              <w:t>PUBLIC VNRVJIET SOURCES</w:t>
              <w:br/>
              <w:t xml:space="preserve">       │</w:t>
              <w:br/>
              <w:t xml:space="preserve">       ├── Source registry + targeted discovery</w:t>
              <w:br/>
              <w:t xml:space="preserve">       │</w:t>
              <w:br/>
              <w:t xml:space="preserve">       ├── Fetch + snapshots + version state</w:t>
              <w:br/>
              <w:t xml:space="preserve">       │</w:t>
              <w:br/>
              <w:t xml:space="preserve">       ├── Content extraction + normalization</w:t>
              <w:br/>
              <w:t xml:space="preserve">       │</w:t>
              <w:br/>
              <w:t xml:space="preserve">       └── Change/add/delete detection</w:t>
              <w:br/>
              <w:t xml:space="preserve">                 │</w:t>
              <w:br/>
              <w:t xml:space="preserve">                 ▼</w:t>
              <w:br/>
              <w:t xml:space="preserve">          RAG PREPROCESSING</w:t>
              <w:br/>
              <w:t xml:space="preserve">      structure + metadata + chunks</w:t>
              <w:br/>
              <w:t xml:space="preserve">                 │</w:t>
              <w:br/>
              <w:t xml:space="preserve">                 ▼</w:t>
              <w:br/>
              <w:t xml:space="preserve">       LOCAL EMBEDDING / INDEX</w:t>
              <w:br/>
              <w:t xml:space="preserve">                 │</w:t>
              <w:br/>
              <w:t xml:space="preserve">                 ▼</w:t>
              <w:br/>
              <w:t>AUTH → RBAC → ROLE-AWARE RETRIEVAL → RERANK (if justified)</w:t>
              <w:br/>
              <w:t xml:space="preserve">                 │</w:t>
              <w:br/>
              <w:t xml:space="preserve">                 ▼</w:t>
              <w:br/>
              <w:t xml:space="preserve">            PROMPT BUILDER</w:t>
              <w:br/>
              <w:t xml:space="preserve">       role + query + evidence</w:t>
              <w:br/>
              <w:t xml:space="preserve">                 │</w:t>
              <w:br/>
              <w:t xml:space="preserve">                 ▼</w:t>
              <w:br/>
              <w:t xml:space="preserve">        LOCAL QUANTIZED VJLM</w:t>
              <w:br/>
              <w:t xml:space="preserve">   (selected base + verified fine-tuning)</w:t>
              <w:br/>
              <w:t xml:space="preserve">                 │</w:t>
              <w:br/>
              <w:t xml:space="preserve">                 ▼</w:t>
              <w:br/>
              <w:t xml:space="preserve">       ANSWER + SOURCE CITATIONS</w:t>
              <w:br/>
              <w:t xml:space="preserve">                 │</w:t>
              <w:br/>
              <w:t xml:space="preserve">                 ▼</w:t>
              <w:br/>
              <w:t xml:space="preserve">              UI</w:t>
              <w:br/>
              <w:br/>
              <w:t>Parallel offline path:</w:t>
              <w:br/>
              <w:t>Verified stable VNR knowledge + behavior examples</w:t>
              <w:br/>
              <w:t xml:space="preserve">          → fine-tuning dataset</w:t>
              <w:br/>
              <w:t xml:space="preserve">          → selected PEFT/full method</w:t>
              <w:br/>
              <w:t xml:space="preserve">          → evaluate vs base</w:t>
              <w:br/>
              <w:t xml:space="preserve">          → quantize + deploy</w:t>
              <w:br/>
              <w:br/>
              <w:t>Continuous maintenance:</w:t>
              <w:br/>
              <w:t>website refresh → changed-source reprocessing → index sync → regression tests</w:t>
            </w:r>
          </w:p>
        </w:tc>
      </w:tr>
    </w:tbl>
    <w:p>
      <w:pPr>
        <w:pStyle w:val="Heading2"/>
        <w:keepNext/>
        <w:spacing w:before="160" w:after="60"/>
      </w:pPr>
      <w:r>
        <w:t>The central research claim VJLM should be able to defend</w:t>
      </w:r>
    </w:p>
    <w:tbl>
      <w:tblPr>
        <w:tblW w:type="auto" w:w="0"/>
        <w:jc w:val="center"/>
        <w:tblLook w:firstColumn="1" w:firstRow="1" w:lastColumn="0" w:lastRow="0" w:noHBand="0" w:noVBand="1" w:val="04A0"/>
      </w:tblPr>
      <w:tblGrid>
        <w:gridCol w:w="10282"/>
      </w:tblGrid>
      <w:tr>
        <w:trPr>
          <w:cantSplit/>
        </w:trPr>
        <w:tc>
          <w:tcPr>
            <w:tcW w:type="dxa" w:w="10282"/>
            <w:shd w:fill="EAF4F7"/>
            <w:tcMar>
              <w:top w:w="100" w:type="dxa"/>
              <w:start w:w="140" w:type="dxa"/>
              <w:bottom w:w="100" w:type="dxa"/>
              <w:end w:w="140" w:type="dxa"/>
            </w:tcMar>
            <w:tcBorders>
              <w:top w:val="single" w:sz="8" w:color="1F7A8C"/>
              <w:left w:val="single" w:sz="8" w:color="1F7A8C"/>
              <w:bottom w:val="single" w:sz="8" w:color="1F7A8C"/>
              <w:right w:val="single" w:sz="8" w:color="1F7A8C"/>
            </w:tcBorders>
          </w:tcPr>
          <w:p>
            <w:pPr>
              <w:spacing w:after="40"/>
            </w:pPr>
            <w:r>
              <w:rPr>
                <w:rFonts w:ascii="Aptos" w:hAnsi="Aptos"/>
                <w:b/>
                <w:color w:val="16324F"/>
                <w:sz w:val="21"/>
              </w:rPr>
              <w:t>Evidence-based engineering</w:t>
            </w:r>
          </w:p>
          <w:p>
            <w:pPr>
              <w:spacing w:after="0" w:line="252" w:lineRule="auto"/>
            </w:pPr>
            <w:r>
              <w:rPr>
                <w:rFonts w:ascii="Aptos" w:hAnsi="Aptos"/>
                <w:sz w:val="19"/>
              </w:rPr>
              <w:t>Every major component is selected using VJLM-specific requirements and controlled experiments rather than generic popularity: the ingestion method is tested for freshness/resilience; preprocessing and retrieval are measured on VNR questions; the SLM is compared on grounded local inference; fine-tuning is measured against the untouched base model; and quantization is selected using quality, RAM and latency on the target machine.</w:t>
            </w:r>
          </w:p>
        </w:tc>
      </w:tr>
    </w:tbl>
    <w:sectPr w:rsidR="00FC693F" w:rsidRPr="0006063C" w:rsidSect="00034616">
      <w:footerReference w:type="default" r:id="rId11"/>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VJLM End-to-End Implementation &amp; Decision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69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