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I treat engineering as a business lever — 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Technical depth across frontend and platform architecture establishes credibility; my true strength is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w:t>
      </w:r>
      <w:r>
        <w:t xml:space="preserve">— building, mentoring, and retaining high-performing remote teams; measurement-led via DORA metrics (DX), team health tracking, and Peakon Heartbeat surveys, so performance stays visible, sustainable, and connected to career progression.</w:t>
      </w:r>
    </w:p>
    <w:p>
      <w:pPr>
        <w:pStyle w:val="Compact"/>
        <w:numPr>
          <w:ilvl w:val="0"/>
          <w:numId w:val="1001"/>
        </w:numPr>
      </w:pPr>
      <w:r>
        <w:rPr>
          <w:b/>
          <w:bCs/>
        </w:rPr>
        <w:t xml:space="preserve">Organisational Design &amp; Change Management</w:t>
      </w:r>
      <w:r>
        <w:t xml:space="preserve"> </w:t>
      </w:r>
      <w:r>
        <w:t xml:space="preserve">— navigating complex restructurings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w:t>
      </w:r>
      <w:r>
        <w:t xml:space="preserve">— architecting and managing critical platform services with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w:t>
      </w:r>
      <w:r>
        <w:t xml:space="preserve">— end-to-end, from open-source implementation (Pulsar at Jadu) to leading a dedicated Design Systems team at scale.</w:t>
      </w:r>
    </w:p>
    <w:p>
      <w:pPr>
        <w:pStyle w:val="Compact"/>
        <w:numPr>
          <w:ilvl w:val="0"/>
          <w:numId w:val="1001"/>
        </w:numPr>
      </w:pPr>
      <w:r>
        <w:rPr>
          <w:b/>
          <w:bCs/>
        </w:rPr>
        <w:t xml:space="preserve">Commercial Engineering &amp; Business Acumen</w:t>
      </w:r>
      <w:r>
        <w:t xml:space="preserve"> </w:t>
      </w:r>
      <w:r>
        <w:t xml:space="preserve">— a</w:t>
      </w:r>
      <w:r>
        <w:t xml:space="preserve"> </w:t>
      </w:r>
      <w:r>
        <w:t xml:space="preserve">£200k</w:t>
      </w:r>
      <w:r>
        <w:t xml:space="preserve">+ annual vendor portfolio across six platform services, active contribution to CapEx/OpEx planning, and vendor ROI evaluation.</w:t>
      </w:r>
    </w:p>
    <w:p>
      <w:pPr>
        <w:pStyle w:val="Compact"/>
        <w:numPr>
          <w:ilvl w:val="0"/>
          <w:numId w:val="1001"/>
        </w:numPr>
      </w:pPr>
      <w:r>
        <w:rPr>
          <w:b/>
          <w:bCs/>
        </w:rPr>
        <w:t xml:space="preserve">Regulated Industry Experience</w:t>
      </w:r>
      <w:r>
        <w:t xml:space="preserve"> </w:t>
      </w:r>
      <w:r>
        <w:t xml:space="preserve">— financial services (Leeds Building Society), multi-service utilities including energy (Utility Warehouse), and public sector technology (Jadu / Local Authorities); compliance-driven environments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alongside a Product Manager. Sustained</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every reduction was organisational, zero voluntary attrition. Drove</w:t>
      </w:r>
      <w:r>
        <w:t xml:space="preserve"> </w:t>
      </w:r>
      <w:r>
        <w:t xml:space="preserve">3 promotions</w:t>
      </w:r>
      <w:r>
        <w:t xml:space="preserve"> </w:t>
      </w:r>
      <w:r>
        <w:t xml:space="preserve">through evidence-based cases informed by DORA metrics and Peakon Heartbeat surveys, and mentored engineers who moved into Engineering Manager roles both internally and externally.</w:t>
      </w:r>
    </w:p>
    <w:p>
      <w:pPr>
        <w:pStyle w:val="Compact"/>
        <w:numPr>
          <w:ilvl w:val="0"/>
          <w:numId w:val="1002"/>
        </w:numPr>
      </w:pPr>
      <w:r>
        <w:rPr>
          <w:b/>
          <w:bCs/>
        </w:rPr>
        <w:t xml:space="preserve">Org Design &amp; Strategic Influence:</w:t>
      </w:r>
      <w:r>
        <w:t xml:space="preserve"> </w:t>
      </w:r>
      <w:r>
        <w:t xml:space="preserve">Took unguided responsibility for scoping and executing team migrations between pillars during restructurings — mapping scope, chasing stakeholder alignment, and building consensus from scratch. Negotiated the inbound transfer of a Senior Engineer with mobile expertise when a mobile backlog entered the team’s remit, and challenged and reversed structural decisions that would have eliminated the Design Systems team — preserving the capability that enabled the 2025 company-wide rebrand.</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w:t>
      </w:r>
      <w:r>
        <w:t xml:space="preserve"> </w:t>
      </w:r>
      <w:r>
        <w:t xml:space="preserve">Delivered UW’s company-wide brand refresh across the full uw.co.uk estate — the primary digital entry point for customers and partners, and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 a single incident in the current year, resolved within hours — with</w:t>
      </w:r>
      <w:r>
        <w:t xml:space="preserve"> </w:t>
      </w:r>
      <w:r>
        <w:t xml:space="preserve">&lt;3s</w:t>
      </w:r>
      <w:r>
        <w:t xml:space="preserve"> </w:t>
      </w:r>
      <w:r>
        <w:t xml:space="preserve">page loads on critical-path pages. Managing an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across</w:t>
      </w:r>
      <w:r>
        <w:t xml:space="preserve"> </w:t>
      </w:r>
      <w:r>
        <w:t xml:space="preserve">six platform services</w:t>
      </w:r>
      <w:r>
        <w:t xml:space="preserve"> </w:t>
      </w:r>
      <w:r>
        <w:t xml:space="preserve">— Contentful, Google Tag Manager, Snowplow, Mixpanel, Optimizely, and OneTrust.</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w:t>
      </w:r>
      <w:r>
        <w:t xml:space="preserve"> </w:t>
      </w:r>
      <w:r>
        <w:t xml:space="preserve">Led company-wide adoption (15 full, 5 partial), eliminating thousands of hours of duplicated engineering effort — savings at rebrand scale reaching into the hundreds of thousands — and contributed to R&amp;D tax credit claims with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 a rigorous</w:t>
      </w:r>
      <w:r>
        <w:t xml:space="preserve"> </w:t>
      </w:r>
      <w:r>
        <w:t xml:space="preserve">2-month</w:t>
      </w:r>
      <w:r>
        <w:t xml:space="preserve"> </w:t>
      </w:r>
      <w:r>
        <w:t xml:space="preserve">evaluation across</w:t>
      </w:r>
      <w:r>
        <w:t xml:space="preserve"> </w:t>
      </w:r>
      <w:r>
        <w:t xml:space="preserve">10 vendors</w:t>
      </w:r>
      <w:r>
        <w:t xml:space="preserve"> </w:t>
      </w:r>
      <w:r>
        <w:t xml:space="preserve">led to Contentful, a six-figure annual enterprise contract, followed by a zero-disruption dual-serve migration; three marketing teams (</w:t>
      </w:r>
      <w:r>
        <w:t xml:space="preserve">~18 people</w:t>
      </w:r>
      <w:r>
        <w:t xml:space="preserve">) gained scheduling and structured content models. The in-house delivery platform the team built (Next.js / React / TypeScript) runs its own GraphQL API over Contentful’s content APIs — request bundling, query optimisation, and on-demand content revalidation, a layer above what the vendor provides.</w:t>
      </w:r>
    </w:p>
    <w:p>
      <w:pPr>
        <w:pStyle w:val="Compact"/>
        <w:numPr>
          <w:ilvl w:val="0"/>
          <w:numId w:val="1002"/>
        </w:numPr>
      </w:pPr>
      <w:r>
        <w:rPr>
          <w:b/>
          <w:bCs/>
        </w:rPr>
        <w:t xml:space="preserve">Documentation &amp; Upskilling:</w:t>
      </w:r>
      <w:r>
        <w:t xml:space="preserve"> </w:t>
      </w:r>
      <w:r>
        <w:t xml:space="preserve">Authored over</w:t>
      </w:r>
      <w:r>
        <w:t xml:space="preserve"> </w:t>
      </w:r>
      <w:r>
        <w:t xml:space="preserve">100 articles</w:t>
      </w:r>
      <w:r>
        <w:t xml:space="preserve"> </w:t>
      </w:r>
      <w:r>
        <w:t xml:space="preserve">of technical documentation — the most thoroughly documented team at UW — and closed capability gaps (e.g. Kubernetes) through self-directed learning before training the team.</w:t>
      </w:r>
    </w:p>
    <w:p>
      <w:pPr>
        <w:pStyle w:val="Compact"/>
        <w:numPr>
          <w:ilvl w:val="0"/>
          <w:numId w:val="1002"/>
        </w:numPr>
      </w:pPr>
      <w:r>
        <w:rPr>
          <w:b/>
          <w:bCs/>
        </w:rPr>
        <w:t xml:space="preserve">Adaptability Under Constraints (2025–Present):</w:t>
      </w:r>
      <w:r>
        <w:t xml:space="preserve"> </w:t>
      </w:r>
      <w:r>
        <w:t xml:space="preserve">After restructurings reduced the team to</w:t>
      </w:r>
      <w:r>
        <w:t xml:space="preserve"> </w:t>
      </w:r>
      <w:r>
        <w:t xml:space="preserve">2 engineers</w:t>
      </w:r>
      <w:r>
        <w:t xml:space="preserve">, absorbed Product Manager and on-call responsibilities alongside Engineering Management — sustaining delivery across</w:t>
      </w:r>
      <w:r>
        <w:t xml:space="preserve"> </w:t>
      </w:r>
      <w:r>
        <w:t xml:space="preserve">6 platform services</w:t>
      </w:r>
      <w:r>
        <w:t xml:space="preserve"> </w:t>
      </w:r>
      <w:r>
        <w:t xml:space="preserve">with full accountability for the uw.co.uk estate, without losing an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Utility Warehouse</w:t>
      </w:r>
      <w:r>
        <w:br/>
      </w:r>
      <w:r>
        <w:t xml:space="preserve">May 2022 – Jul 2023 (1 yr 3 mos) · United Kingdom · Remote</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processes, no documentation. Started as three — myself, a Product Manager, and an Associate Engineer — and delivered for a full year with a single engineer, whom I line-managed from May 2022: people responsibility</w:t>
      </w:r>
      <w:r>
        <w:t xml:space="preserve"> </w:t>
      </w:r>
      <w:r>
        <w:t xml:space="preserve">14 months</w:t>
      </w:r>
      <w:r>
        <w:t xml:space="preserve"> </w:t>
      </w:r>
      <w:r>
        <w:t xml:space="preserve">before the title caught up. Grew the team to</w:t>
      </w:r>
      <w:r>
        <w:t xml:space="preserve"> </w:t>
      </w:r>
      <w:r>
        <w:t xml:space="preserve">five</w:t>
      </w:r>
      <w:r>
        <w:t xml:space="preserve"> </w:t>
      </w:r>
      <w:r>
        <w:t xml:space="preserve">in May 2023 and promoted the founding Associate a month later — a promotion case I prepared and drove while still Lead.</w:t>
      </w:r>
    </w:p>
    <w:p>
      <w:pPr>
        <w:pStyle w:val="Compact"/>
        <w:numPr>
          <w:ilvl w:val="0"/>
          <w:numId w:val="1003"/>
        </w:numPr>
      </w:pPr>
      <w:r>
        <w:rPr>
          <w:b/>
          <w:bCs/>
        </w:rPr>
        <w:t xml:space="preserve">Engineering Rigour from Scratch:</w:t>
      </w:r>
      <w:r>
        <w:t xml:space="preserve"> </w:t>
      </w:r>
      <w:r>
        <w:t xml:space="preserve">Established a fully operational Scrum environment — structured backlog, measurable velocity, predictable delivery — filling Product Manager gaps when needed, and authored the foundational documentation that grew into the team’s</w:t>
      </w:r>
      <w:r>
        <w:t xml:space="preserve"> </w:t>
      </w:r>
      <w:r>
        <w:t xml:space="preserve">100+</w:t>
      </w:r>
      <w:r>
        <w:t xml:space="preserve"> </w:t>
      </w:r>
      <w:r>
        <w:t xml:space="preserve">article library.</w:t>
      </w:r>
    </w:p>
    <w:p>
      <w:pPr>
        <w:pStyle w:val="Compact"/>
        <w:numPr>
          <w:ilvl w:val="0"/>
          <w:numId w:val="1003"/>
        </w:numPr>
      </w:pPr>
      <w:r>
        <w:rPr>
          <w:b/>
          <w:bCs/>
        </w:rPr>
        <w:t xml:space="preserve">CMS Strategy &amp; Decision:</w:t>
      </w:r>
      <w:r>
        <w:t xml:space="preserve"> </w:t>
      </w:r>
      <w:r>
        <w:t xml:space="preserve">Led the evaluation that resulted in UW’s adoption of Contentful as its enterprise CMS; presented findings and audit trail to leadership —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(2 yrs 4 mos) · Leeds, UK · Hybrid</w:t>
      </w:r>
    </w:p>
    <w:p>
      <w:pPr>
        <w:pStyle w:val="BodyText"/>
      </w:pPr>
      <w:r>
        <w:t xml:space="preserve">Dual-role technical leader for global brands (Adidas, MARS) — architecting frontend solutions while formally holding Scrum Master responsibilities to raise the organisation’s delivery standards.</w:t>
      </w:r>
    </w:p>
    <w:p>
      <w:pPr>
        <w:pStyle w:val="Compact"/>
        <w:numPr>
          <w:ilvl w:val="0"/>
          <w:numId w:val="1004"/>
        </w:numPr>
      </w:pPr>
      <w:r>
        <w:rPr>
          <w:b/>
          <w:bCs/>
        </w:rPr>
        <w:t xml:space="preserve">Agile Transformation:</w:t>
      </w:r>
      <w:r>
        <w:t xml:space="preserve"> </w:t>
      </w:r>
      <w:r>
        <w:t xml:space="preserve">Introduced structured Agile/Scrum practices to an agency running entirely on ad-hoc, fire-driven delivery — measurable sprint velocity, predictable project allocation, and regular client demos.</w:t>
      </w:r>
    </w:p>
    <w:p>
      <w:pPr>
        <w:pStyle w:val="Compact"/>
        <w:numPr>
          <w:ilvl w:val="0"/>
          <w:numId w:val="1004"/>
        </w:numPr>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FirstParagraph"/>
      </w:pPr>
      <w:r>
        <w:rPr>
          <w:b/>
          <w:bCs/>
        </w:rPr>
        <w:t xml:space="preserve">Projects</w:t>
      </w:r>
      <w:r>
        <w:t xml:space="preserve">: Adidas, MARS, Leeds Rhinos, Royal Canin, Zopa</w:t>
      </w:r>
      <w:r>
        <w:t xml:space="preserve"> </w:t>
      </w:r>
      <w:r>
        <w:rPr>
          <w:i/>
          <w:iCs/>
        </w:rPr>
        <w:t xml:space="preserve">(now Zopa Bank)</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(1 yr 4 mos) · Leeds, UK · Hybrid</w:t>
      </w:r>
    </w:p>
    <w:p>
      <w:pPr>
        <w:pStyle w:val="BodyText"/>
      </w:pPr>
      <w:r>
        <w:t xml:space="preserve">Maintained public-facing digital assets for the UK’s 5th largest building society — a highly regulated financial services environment — while mentoring teams on code quality and UX standards.</w:t>
      </w:r>
    </w:p>
    <w:p>
      <w:pPr>
        <w:pStyle w:val="Compact"/>
        <w:numPr>
          <w:ilvl w:val="0"/>
          <w:numId w:val="1005"/>
        </w:numPr>
      </w:pPr>
      <w:r>
        <w:rPr>
          <w:b/>
          <w:bCs/>
        </w:rPr>
        <w:t xml:space="preserve">Agile Pioneer:</w:t>
      </w:r>
      <w:r>
        <w:t xml:space="preserve"> </w:t>
      </w:r>
      <w:r>
        <w:t xml:space="preserve">Introduced Agile and Scrum to LBS for the first time — shifting a high-bureaucracy, low-velocity organisation to sprint-based iterative delivery, and acting as the primary driver of Agile adoption across the department.</w:t>
      </w:r>
    </w:p>
    <w:p>
      <w:pPr>
        <w:pStyle w:val="Compact"/>
        <w:numPr>
          <w:ilvl w:val="0"/>
          <w:numId w:val="1005"/>
        </w:numPr>
      </w:pPr>
      <w:r>
        <w:rPr>
          <w:b/>
          <w:bCs/>
        </w:rPr>
        <w:t xml:space="preserve">Leadership in Crisis (Interim Scrum Master, Jun–Oct 2019):</w:t>
      </w:r>
      <w:r>
        <w:t xml:space="preserve"> </w:t>
      </w:r>
      <w:r>
        <w:t xml:space="preserve">Formally appointed to stabilise delivery and lead the Digital Transformation programme — moving a firefighting culture into structured, iterative feature development alongside external consultants and cross-functional teams.</w:t>
      </w:r>
    </w:p>
    <w:bookmarkEnd w:id="17"/>
    <w:bookmarkStart w:id="19"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(1 yr 10 mos) · Leeds, UK · Hybrid</w:t>
      </w:r>
    </w:p>
    <w:p>
      <w:pPr>
        <w:pStyle w:val="BodyText"/>
      </w:pPr>
      <w:r>
        <w:t xml:space="preserve">Designed UIs and developed features for an award-winning CMS used by Local Authorities, Higher Education, and third-sector organisations — with UX, accessibility, and W3C standards as non-negotiables.</w:t>
      </w:r>
    </w:p>
    <w:p>
      <w:pPr>
        <w:pStyle w:val="Compact"/>
        <w:numPr>
          <w:ilvl w:val="0"/>
          <w:numId w:val="1006"/>
        </w:numPr>
      </w:pPr>
      <w:r>
        <w:rPr>
          <w:b/>
          <w:bCs/>
        </w:rPr>
        <w:t xml:space="preserve">Design Systems (Pulsar):</w:t>
      </w:r>
      <w:r>
        <w:t xml:space="preserve"> </w:t>
      </w:r>
      <w:r>
        <w:t xml:space="preserve">Co-created and maintained</w:t>
      </w:r>
      <w:r>
        <w:t xml:space="preserve"> </w:t>
      </w:r>
      <w:r>
        <w:rPr>
          <w:b/>
          <w:bCs/>
        </w:rPr>
        <w:t xml:space="preserve">Pulsar</w:t>
      </w:r>
      <w:r>
        <w:t xml:space="preserve"> </w:t>
      </w:r>
      <w:r>
        <w:t xml:space="preserve">— an open-source UX and Interface Design System powering the Jadu Continuum Platform, and the foundation of my Design Systems specialism.</w:t>
      </w:r>
    </w:p>
    <w:p>
      <w:pPr>
        <w:pStyle w:val="Compact"/>
        <w:numPr>
          <w:ilvl w:val="0"/>
          <w:numId w:val="1006"/>
        </w:numPr>
      </w:pPr>
      <w:r>
        <w:rPr>
          <w:b/>
          <w:bCs/>
        </w:rPr>
        <w:t xml:space="preserve">UX Research &amp; End-to-End Feature Ownership:</w:t>
      </w:r>
      <w:r>
        <w:t xml:space="preserve"> </w:t>
      </w:r>
      <w:r>
        <w:t xml:space="preserve">Owned the full feature lifecycle as one of three product-area leads (CMS, Forms, CRM) — regular on-site contextual inquiry at client organisations (Wyre, Rotherham, and City of York Councils, Greater Manchester Combined Authority, University of Leeds), field research shaping the product roadmap, and iteration from mockups through usability testing to release.</w:t>
      </w:r>
    </w:p>
    <w:p>
      <w:pPr>
        <w:pStyle w:val="Compact"/>
        <w:numPr>
          <w:ilvl w:val="0"/>
          <w:numId w:val="1006"/>
        </w:numPr>
      </w:pPr>
      <w:r>
        <w:rPr>
          <w:b/>
          <w:bCs/>
        </w:rPr>
        <w:t xml:space="preserve">Agile Delivery:</w:t>
      </w:r>
      <w:r>
        <w:t xml:space="preserve"> </w:t>
      </w:r>
      <w:r>
        <w:t xml:space="preserve">Foundational hands-on Agile leadership through a rotating Scrum Master model.</w:t>
      </w:r>
    </w:p>
    <w:p>
      <w:pPr>
        <w:pStyle w:val="FirstParagraph"/>
      </w:pPr>
      <w:r>
        <w:rPr>
          <w:b/>
          <w:bCs/>
        </w:rPr>
        <w:t xml:space="preserve">Projects</w:t>
      </w:r>
      <w:r>
        <w:t xml:space="preserve">: Award-winning custom CMS for large-scale public sector institutions — open-source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t xml:space="preserve">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 managing end-to-end client relationships, professional billing structures, and distributed development teams.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and other civic organisations — a portfolio that predates and directly informs my later UK community work (GDG Leeds, IxDF Leeds, NUX).</w:t>
      </w:r>
    </w:p>
    <w:p>
      <w:pPr>
        <w:pStyle w:val="Compact"/>
        <w:numPr>
          <w:ilvl w:val="0"/>
          <w:numId w:val="1007"/>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 that student is now an engineer at Sophos.</w:t>
      </w:r>
    </w:p>
    <w:p>
      <w:pPr>
        <w:pStyle w:val="Compact"/>
        <w:numPr>
          <w:ilvl w:val="0"/>
          <w:numId w:val="1007"/>
        </w:numPr>
      </w:pPr>
      <w:r>
        <w:rPr>
          <w:b/>
          <w:bCs/>
        </w:rPr>
        <w:t xml:space="preserve">UK Agency Work (2015–2016):</w:t>
      </w:r>
      <w:r>
        <w:t xml:space="preserve"> </w:t>
      </w:r>
      <w:r>
        <w:t xml:space="preserve">Relocated to Leeds — frontend engineering for agencies, building responsive e-commerce for global fashion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pgSz w:h="16838" w:w="11906"/>
      <w:pgMar w:bottom="737" w:footer="454" w:gutter="0" w:header="454" w:left="850" w:right="850" w:top="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themeColor="accent1" w:themeShade="BF"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color w:themeColor="accent1" w:themeShade="BF" w:val="1A1A1A"/>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cstheme="majorBidi" w:eastAsiaTheme="majorEastAsia"/>
      <w:color w:themeColor="accent1" w:themeShade="BF" w:val="1A1A1A"/>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1A1A1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1A1A1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1A1A1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2026-08-23T11:30:13Z</dcterms:created>
  <dcterms:modified xsi:type="dcterms:W3CDTF">2026-08-23T11:30:13Z</dcterms:modified>
</cp:coreProperties>
</file>

<file path=docProps/custom.xml><?xml version="1.0" encoding="utf-8"?>
<Properties xmlns="http://schemas.openxmlformats.org/officeDocument/2006/custom-properties" xmlns:vt="http://schemas.openxmlformats.org/officeDocument/2006/docPropsVTypes"/>
</file>