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and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the inbound transfer of a Senior Engineer with mobile expertise when a mobile backlog entered the team’s remit, and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shifting a high-bureaucracy, low-velocity organisation to sprint-based iterative delivery, and acting as the primary driver of Agile adoption across the department.</w:t>
      </w:r>
    </w:p>
    <w:p>
      <w:pPr>
        <w:pStyle w:val="Compact"/>
        <w:numPr>
          <w:ilvl w:val="0"/>
          <w:numId w:val="1005"/>
        </w:numPr>
      </w:pPr>
      <w:r>
        <w:rPr>
          <w:b/>
          <w:bCs/>
        </w:rPr>
        <w:t xml:space="preserve">Leadership in Crisis (Interim Scrum Master, Jun–Oct 2019):</w:t>
      </w:r>
      <w:r>
        <w:t xml:space="preserve"> </w:t>
      </w:r>
      <w:r>
        <w:t xml:space="preserve">Formally appointed to stabilise delivery and lead the Digital Transformation programme — moving a firefighting culture into structured, iterative feature development alongside external consultants and cross-functional teams.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is now an engineer at Sophos.</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2026-08-21T15:28:02Z</dcterms:created>
  <dcterms:modified xsi:type="dcterms:W3CDTF">2026-08-21T15:28:02Z</dcterms:modified>
</cp:coreProperties>
</file>

<file path=docProps/custom.xml><?xml version="1.0" encoding="utf-8"?>
<Properties xmlns="http://schemas.openxmlformats.org/officeDocument/2006/custom-properties" xmlns:vt="http://schemas.openxmlformats.org/officeDocument/2006/docPropsVTypes"/>
</file>