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informed by DORA metrics. Measurement-led: using DORA (via DX), team health tracking, and Peakon Heartbeat surveys to ensure performance is visible, sustainable, and connected to career progression.</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Development: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 Drove</w:t>
      </w:r>
      <w:r>
        <w:t xml:space="preserve"> </w:t>
      </w:r>
      <w:r>
        <w:t xml:space="preserve">3 promotions</w:t>
      </w:r>
      <w:r>
        <w:t xml:space="preserve"> </w:t>
      </w:r>
      <w:r>
        <w:t xml:space="preserve">through evidence-based cases, advocating across organisational boundaries, and mentored engineers who moved into Engineering Manager roles both internally and externally.</w:t>
      </w:r>
    </w:p>
    <w:p>
      <w:pPr>
        <w:pStyle w:val="Compact"/>
        <w:numPr>
          <w:ilvl w:val="0"/>
          <w:numId w:val="1002"/>
        </w:numPr>
      </w:pPr>
      <w:r>
        <w:rPr>
          <w:b/>
          <w:bCs/>
        </w:rPr>
        <w:t xml:space="preserve">Performance Measurement &amp; Team Health:</w:t>
      </w:r>
      <w:r>
        <w:t xml:space="preserve"> </w:t>
      </w:r>
      <w:r>
        <w:t xml:space="preserve">Early adopter of DORA metrics — progressed from manual team health tracking and custom EM dashboards to the organisation-wide DX platform. Delivery data (deployment frequency, lead time, change failure rate, MTTR) directly informs promotion cases and bonus decisions, complemented by monthly Peakon Heartbeat surveys translated into concrete actions within the team’s sphere of influence.</w:t>
      </w:r>
    </w:p>
    <w:p>
      <w:pPr>
        <w:pStyle w:val="Compact"/>
        <w:numPr>
          <w:ilvl w:val="0"/>
          <w:numId w:val="1002"/>
        </w:numPr>
      </w:pPr>
      <w:r>
        <w:rPr>
          <w:b/>
          <w:bCs/>
        </w:rPr>
        <w:t xml:space="preserve">Org Design &amp; Strategic Influence:</w:t>
      </w:r>
      <w:r>
        <w:t xml:space="preserve"> </w:t>
      </w:r>
      <w:r>
        <w:t xml:space="preserve">During restructurings, took on unguided responsibility for scoping and executing team migrations between pillars — independently mapping scope, chasing stakeholder alignment, and building consensus from scratch. 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Knowledge Culture &amp; Upskilling:</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Inherited an undocumented legacy CMS and conducted systematic discovery (</w:t>
      </w:r>
      <w:r>
        <w:t xml:space="preserve">“Archeology”</w:t>
      </w:r>
      <w:r>
        <w:t xml:space="preserve">) to map what existed before building the culture from scratch. Identified capability gaps (e.g. Kubernetes), closed them through self-directed learning, then trained the team and pushed engineers to own RFCs and cross-team knowledge-sharing.</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with a single incident in the current year — resolved within hours, zero downtime otherwise — and</w:t>
      </w:r>
      <w:r>
        <w:t xml:space="preserve"> </w:t>
      </w:r>
      <w:r>
        <w:t xml:space="preserve">&lt;3s</w:t>
      </w:r>
      <w:r>
        <w:t xml:space="preserve"> </w:t>
      </w:r>
      <w:r>
        <w:t xml:space="preserve">page load times on critical-path pages. Managing a digital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Supported</w:t>
      </w:r>
      <w:r>
        <w:t xml:space="preserve"> </w:t>
      </w:r>
      <w:r>
        <w:t xml:space="preserve">8</w:t>
      </w:r>
      <w:r>
        <w:t xml:space="preserve"> </w:t>
      </w:r>
      <w:r>
        <w:t xml:space="preserve">content teams (</w:t>
      </w:r>
      <w:r>
        <w:t xml:space="preserve">33</w:t>
      </w:r>
      <w:r>
        <w:t xml:space="preserve"> </w:t>
      </w:r>
      <w:r>
        <w:t xml:space="preserve">direct users) and</w:t>
      </w:r>
      <w:r>
        <w:t xml:space="preserve"> </w:t>
      </w:r>
      <w:r>
        <w:t xml:space="preserve">15+</w:t>
      </w:r>
      <w:r>
        <w:t xml:space="preserve"> </w:t>
      </w:r>
      <w:r>
        <w:t xml:space="preserve">engineering teams as platform dependencies. Owns the full platform analytics and compliance stack —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savings at rebrand scale reaching into the hundreds of thousands. Contributed to the company’s R&amp;D tax credit claims by translating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full accountability for the uw.co.uk estate, without losing a single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complete due to the Greek economic crisis)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2026-08-03T01:27:43Z</dcterms:created>
  <dcterms:modified xsi:type="dcterms:W3CDTF">2026-08-03T01:27:43Z</dcterms:modified>
</cp:coreProperties>
</file>

<file path=docProps/custom.xml><?xml version="1.0" encoding="utf-8"?>
<Properties xmlns="http://schemas.openxmlformats.org/officeDocument/2006/custom-properties" xmlns:vt="http://schemas.openxmlformats.org/officeDocument/2006/docPropsVTypes"/>
</file>