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(TeamRetro) and custom EM dashboards to the organisation-wide DX platform. Uses deployment frequency, lead time, change failure rate, and MTTR to provide objective visibility into delivery health — data that directly informs promotion cases and bonus decisions. Complements engineering metrics with monthly Peakon Heartbeat surveys, translating engagement and wellbeing signals into concrete actions within the team’s sphere of influence.</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2026-07-30T15:00:12Z</dcterms:created>
  <dcterms:modified xsi:type="dcterms:W3CDTF">2026-07-30T15:00:12Z</dcterms:modified>
</cp:coreProperties>
</file>

<file path=docProps/custom.xml><?xml version="1.0" encoding="utf-8"?>
<Properties xmlns="http://schemas.openxmlformats.org/officeDocument/2006/custom-properties" xmlns:vt="http://schemas.openxmlformats.org/officeDocument/2006/docPropsVTypes"/>
</file>