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11" w:name="who-am-i"/>
    <w:p>
      <w:pPr>
        <w:pStyle w:val="Heading2"/>
      </w:pPr>
      <w:r>
        <w:t xml:space="preserve">Who am I?</w:t>
      </w:r>
    </w:p>
    <w:p>
      <w:pPr>
        <w:pStyle w:val="Compact"/>
        <w:numPr>
          <w:ilvl w:val="0"/>
          <w:numId w:val="1001"/>
        </w:numPr>
      </w:pPr>
      <w:r>
        <w:rPr>
          <w:b/>
          <w:bCs/>
        </w:rPr>
        <w:t xml:space="preserve">Name</w:t>
      </w:r>
      <w:r>
        <w:t xml:space="preserve">: Nikos Vasileiadis</w:t>
      </w:r>
    </w:p>
    <w:p>
      <w:pPr>
        <w:pStyle w:val="Compact"/>
        <w:numPr>
          <w:ilvl w:val="0"/>
          <w:numId w:val="1001"/>
        </w:numPr>
      </w:pPr>
      <w:r>
        <w:rPr>
          <w:b/>
          <w:bCs/>
        </w:rPr>
        <w:t xml:space="preserve">Title</w:t>
      </w:r>
      <w:r>
        <w:t xml:space="preserve">: Engineering Leader</w:t>
      </w:r>
    </w:p>
    <w:p>
      <w:pPr>
        <w:pStyle w:val="Compact"/>
        <w:numPr>
          <w:ilvl w:val="0"/>
          <w:numId w:val="1001"/>
        </w:numPr>
      </w:pPr>
      <w:r>
        <w:rPr>
          <w:b/>
          <w:bCs/>
        </w:rPr>
        <w:t xml:space="preserve">Location</w:t>
      </w:r>
      <w:r>
        <w:t xml:space="preserve">: Leeds, England, United Kingdom</w:t>
      </w:r>
    </w:p>
    <w:p>
      <w:pPr>
        <w:pStyle w:val="Compact"/>
        <w:numPr>
          <w:ilvl w:val="0"/>
          <w:numId w:val="1001"/>
        </w:numPr>
      </w:pPr>
      <w:r>
        <w:rPr>
          <w:b/>
          <w:bCs/>
        </w:rPr>
        <w:t xml:space="preserve">Right to work</w:t>
      </w:r>
      <w:r>
        <w:t xml:space="preserve">: British Citizen</w:t>
      </w:r>
    </w:p>
    <w:p>
      <w:pPr>
        <w:pStyle w:val="FirstParagraph"/>
      </w:pPr>
      <w:r>
        <w:t xml:space="preserve">Download executive profile:</w:t>
      </w:r>
      <w:r>
        <w:t xml:space="preserve"> </w:t>
      </w:r>
      <w:hyperlink r:id="rId9">
        <w:r>
          <w:rPr>
            <w:rStyle w:val="Hyperlink"/>
          </w:rPr>
          <w:t xml:space="preserve">PDF Version</w:t>
        </w:r>
      </w:hyperlink>
      <w:r>
        <w:t xml:space="preserve"> </w:t>
      </w:r>
      <w:r>
        <w:t xml:space="preserve">|</w:t>
      </w:r>
      <w:r>
        <w:t xml:space="preserve"> </w:t>
      </w:r>
      <w:hyperlink r:id="rId10">
        <w:r>
          <w:rPr>
            <w:rStyle w:val="Hyperlink"/>
          </w:rPr>
          <w:t xml:space="preserve">DOCX Version</w:t>
        </w:r>
      </w:hyperlink>
    </w:p>
    <w:bookmarkEnd w:id="11"/>
    <w:bookmarkStart w:id="12" w:name="top-skills"/>
    <w:p>
      <w:pPr>
        <w:pStyle w:val="Heading2"/>
      </w:pPr>
      <w:r>
        <w:t xml:space="preserve">Top skills</w:t>
      </w:r>
    </w:p>
    <w:p>
      <w:pPr>
        <w:pStyle w:val="Compact"/>
        <w:numPr>
          <w:ilvl w:val="0"/>
          <w:numId w:val="1002"/>
        </w:numPr>
      </w:pPr>
      <w:r>
        <w:rPr>
          <w:b/>
          <w:bCs/>
        </w:rPr>
        <w:t xml:space="preserve">Engineering Leadership &amp; Scaling</w:t>
      </w:r>
      <w:r>
        <w:t xml:space="preserve">: Proven track record of building, mentoring, and retaining high-performing remote teams (100% retention rate) while establishing robust Agile practices.</w:t>
      </w:r>
    </w:p>
    <w:p>
      <w:pPr>
        <w:pStyle w:val="Compact"/>
        <w:numPr>
          <w:ilvl w:val="0"/>
          <w:numId w:val="1002"/>
        </w:numPr>
      </w:pPr>
      <w:r>
        <w:rPr>
          <w:b/>
          <w:bCs/>
        </w:rPr>
        <w:t xml:space="preserve">Platform &amp; Infrastructure Strategy</w:t>
      </w:r>
      <w:r>
        <w:t xml:space="preserve">: Architecting and managing critical platform services and dependencies with a focus on SLAs, SLIs, and operational excellence for 15+ engineering teams.</w:t>
      </w:r>
    </w:p>
    <w:p>
      <w:pPr>
        <w:pStyle w:val="Compact"/>
        <w:numPr>
          <w:ilvl w:val="0"/>
          <w:numId w:val="1002"/>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2"/>
        </w:numPr>
      </w:pPr>
      <w:r>
        <w:rPr>
          <w:b/>
          <w:bCs/>
        </w:rPr>
        <w:t xml:space="preserve">Cross-Functional Technical Vision</w:t>
      </w:r>
      <w:r>
        <w:t xml:space="preserve">: Bridging the gap between product strategy, UX, and technical execution, backed by a 20-year foundation in full-stack architecture and digital transformation.</w:t>
      </w:r>
    </w:p>
    <w:bookmarkEnd w:id="12"/>
    <w:bookmarkStart w:id="13" w:name="about"/>
    <w:p>
      <w:pPr>
        <w:pStyle w:val="Heading2"/>
      </w:pPr>
      <w:r>
        <w:t xml:space="preserve">About</w:t>
      </w:r>
    </w:p>
    <w:p>
      <w:pPr>
        <w:pStyle w:val="FirstParagraph"/>
      </w:pPr>
      <w:r>
        <w:t xml:space="preserve">I am a strategic engineering leader with over two decades of full-stack experience, now focused on aligning technical infrastructure with business outcomes. Having spent 20 years deep in the code, I now operate at the intersection of product strategy, engineering delivery, and commercial realities. I don’t believe in over-engineering for the sake of it; I am a strong advocate for pragmatic,</w:t>
      </w:r>
      <w:r>
        <w:t xml:space="preserve"> </w:t>
      </w:r>
      <w:r>
        <w:t xml:space="preserve">“just right”</w:t>
      </w:r>
      <w:r>
        <w:t xml:space="preserve"> </w:t>
      </w:r>
      <w:r>
        <w:t xml:space="preserve">architecture that solves the actual business problem, scales gracefully, and protects margins.</w:t>
      </w:r>
    </w:p>
    <w:p>
      <w:pPr>
        <w:pStyle w:val="BodyText"/>
      </w:pPr>
      <w:r>
        <w:rPr>
          <w:b/>
          <w:bCs/>
        </w:rPr>
        <w:t xml:space="preserve">Commercial Acumen &amp; Financial Literacy:</w:t>
      </w:r>
      <w:r>
        <w:t xml:space="preserve"> </w:t>
      </w:r>
      <w:r>
        <w:t xml:space="preserve">I approach engineering not just as a technical function, but as a lever for business growth. Supported by formal training in</w:t>
      </w:r>
      <w:r>
        <w:t xml:space="preserve"> </w:t>
      </w:r>
      <w:r>
        <w:t xml:space="preserve">“Finance for Non-Financial Managers,”</w:t>
      </w:r>
      <w:r>
        <w:t xml:space="preserve"> </w:t>
      </w:r>
      <w:r>
        <w:t xml:space="preserve">CapEx/OpEx budgeting, and business metrics, I actively evaluate vendor ROI and ensure technical investments map directly to company strategy.</w:t>
      </w:r>
    </w:p>
    <w:p>
      <w:pPr>
        <w:pStyle w:val="BodyText"/>
      </w:pPr>
      <w:r>
        <w:rPr>
          <w:b/>
          <w:bCs/>
        </w:rPr>
        <w:t xml:space="preserve">Platform Leadership &amp; Risk Management:</w:t>
      </w:r>
      <w:r>
        <w:t xml:space="preserve"> </w:t>
      </w:r>
      <w:r>
        <w:t xml:space="preserve">I manage critical infrastructure services that act as dependencies for 15+ teams. By leading extensive due diligence and audit work—such as replacing legacy CMS platforms—I proactively mitigate risk, ensure operational SLAs/SLOs, and provide the stable foundation upon which the rest of the business builds and scales.</w:t>
      </w:r>
    </w:p>
    <w:p>
      <w:pPr>
        <w:pStyle w:val="BodyText"/>
      </w:pPr>
      <w:r>
        <w:rPr>
          <w:b/>
          <w:bCs/>
        </w:rPr>
        <w:t xml:space="preserve">Operational Excellence &amp; Team Retention:</w:t>
      </w:r>
      <w:r>
        <w:t xml:space="preserve"> </w:t>
      </w:r>
      <w:r>
        <w:t xml:space="preserve">I believe that a healthy culture is the ultimate productivity hack. I currently maintain a</w:t>
      </w:r>
      <w:r>
        <w:t xml:space="preserve"> </w:t>
      </w:r>
      <w:r>
        <w:rPr>
          <w:b/>
          <w:bCs/>
        </w:rPr>
        <w:t xml:space="preserve">100% team retention rate</w:t>
      </w:r>
      <w:r>
        <w:t xml:space="preserve"> </w:t>
      </w:r>
      <w:r>
        <w:t xml:space="preserve">across my engineering teams, ensuring we deliver predictable, high-quality results even in lean, resource-efficient setups.</w:t>
      </w:r>
    </w:p>
    <w:p>
      <w:pPr>
        <w:pStyle w:val="BodyText"/>
      </w:pPr>
      <w:r>
        <w:rPr>
          <w:b/>
          <w:bCs/>
        </w:rPr>
        <w:t xml:space="preserve">Strategic Execution:</w:t>
      </w:r>
      <w:r>
        <w:t xml:space="preserve"> </w:t>
      </w:r>
      <w:r>
        <w:t xml:space="preserve">Currently leading a company-wide rebranding initiative involving 50 distinct components and 460+ pages across two quarters, demonstrating my capability to execute large-scale, cross-functional organizational change.</w:t>
      </w:r>
    </w:p>
    <w:p>
      <w:pPr>
        <w:pStyle w:val="BodyText"/>
      </w:pPr>
      <w:r>
        <w:t xml:space="preserve">My 20-year technical foundation—spanning digital strategy, organisational engineering, CMS platforms, modern web architecture, UX, and agile delivery—now serves as a profound strategic advantage. I sit comfortably in the boardroom understanding the financial roadmap, and can seamlessly translate that into a scalable engineering blueprint.</w:t>
      </w:r>
    </w:p>
    <w:p>
      <w:pPr>
        <w:pStyle w:val="BodyText"/>
      </w:pPr>
      <w:r>
        <w:t xml:space="preserve">I am looking to join a progressive company where I can operate at a high leadership level, utilizing my commercial mindset and technical depth to shape technical strategy, drive business resilience, and lead engineering organizations that actually serve the bottom line. Let’s connect.</w:t>
      </w:r>
    </w:p>
    <w:bookmarkEnd w:id="13"/>
    <w:bookmarkStart w:id="22"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3"/>
        </w:numPr>
      </w:pPr>
      <w:r>
        <w:rPr>
          <w:b/>
          <w:bCs/>
        </w:rPr>
        <w:t xml:space="preserve">Strategic Delivery &amp; Scaling:</w:t>
      </w:r>
      <w:r>
        <w:t xml:space="preserve"> </w:t>
      </w:r>
      <w:r>
        <w:t xml:space="preserve">Leading a company-wide rebranding initiative across 50 components and 460+ pages, directly managing related CapEx/OpEx budgets, staffing needs, and capacity planning.</w:t>
      </w:r>
    </w:p>
    <w:p>
      <w:pPr>
        <w:pStyle w:val="Compact"/>
        <w:numPr>
          <w:ilvl w:val="0"/>
          <w:numId w:val="1003"/>
        </w:numPr>
      </w:pPr>
      <w:r>
        <w:rPr>
          <w:b/>
          <w:bCs/>
        </w:rPr>
        <w:t xml:space="preserve">Platform Architecture &amp; Dependencies:</w:t>
      </w:r>
      <w:r>
        <w:t xml:space="preserve"> </w:t>
      </w:r>
      <w:r>
        <w:t xml:space="preserve">Architecting and managing critical platform services acting as dependencies for 15+ engineering teams, ensuring high availability and strict SLA/SLO adherence.</w:t>
      </w:r>
    </w:p>
    <w:p>
      <w:pPr>
        <w:pStyle w:val="Compact"/>
        <w:numPr>
          <w:ilvl w:val="0"/>
          <w:numId w:val="1003"/>
        </w:numPr>
      </w:pPr>
      <w:r>
        <w:rPr>
          <w:b/>
          <w:bCs/>
        </w:rPr>
        <w:t xml:space="preserve">Commercial &amp; Vendor Management:</w:t>
      </w:r>
      <w:r>
        <w:t xml:space="preserve"> </w:t>
      </w:r>
      <w:r>
        <w:t xml:space="preserve">Evaluated CMS solutions, negotiated requirements, and conducted extensive technical due diligence for a legacy CMS replacement to mitigate enterprise risk.</w:t>
      </w:r>
    </w:p>
    <w:p>
      <w:pPr>
        <w:pStyle w:val="Compact"/>
        <w:numPr>
          <w:ilvl w:val="0"/>
          <w:numId w:val="1003"/>
        </w:numPr>
      </w:pPr>
      <w:r>
        <w:rPr>
          <w:b/>
          <w:bCs/>
        </w:rPr>
        <w:t xml:space="preserve">Team Topology &amp; Culture:</w:t>
      </w:r>
      <w:r>
        <w:t xml:space="preserve"> </w:t>
      </w:r>
      <w:r>
        <w:t xml:space="preserve">Built a high-performing engineering culture with a</w:t>
      </w:r>
      <w:r>
        <w:t xml:space="preserve"> </w:t>
      </w:r>
      <w:r>
        <w:rPr>
          <w:b/>
          <w:bCs/>
        </w:rPr>
        <w:t xml:space="preserve">100% retention rate</w:t>
      </w:r>
      <w:r>
        <w:t xml:space="preserve"> </w:t>
      </w:r>
      <w:r>
        <w:t xml:space="preserve">across two teams (8 engineers). Optimized team structures to deliver continuous enterprise value, resolving high-level organizational unknowns.</w:t>
      </w:r>
    </w:p>
    <w:p>
      <w:pPr>
        <w:pStyle w:val="Compact"/>
        <w:numPr>
          <w:ilvl w:val="0"/>
          <w:numId w:val="1003"/>
        </w:numPr>
      </w:pPr>
      <w:r>
        <w:rPr>
          <w:b/>
          <w:bCs/>
        </w:rPr>
        <w:t xml:space="preserve">Cross-Functional Leadership:</w:t>
      </w:r>
      <w:r>
        <w:t xml:space="preserve"> </w:t>
      </w:r>
      <w:r>
        <w:t xml:space="preserve">Proactively driving strategic partnerships across marketing, product, and engineering. Acting as the bridge between technical execution and executive roadmaps.</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4"/>
        </w:numPr>
      </w:pPr>
      <w:r>
        <w:rPr>
          <w:b/>
          <w:bCs/>
        </w:rPr>
        <w:t xml:space="preserve">Foundational Architecture:</w:t>
      </w:r>
      <w:r>
        <w:t xml:space="preserve"> </w:t>
      </w:r>
      <w:r>
        <w:t xml:space="preserve">Bootstrapped the core team from the ground up, translating business needs into a scalable engineering blueprint.</w:t>
      </w:r>
    </w:p>
    <w:p>
      <w:pPr>
        <w:pStyle w:val="Compact"/>
        <w:numPr>
          <w:ilvl w:val="0"/>
          <w:numId w:val="1004"/>
        </w:numPr>
      </w:pPr>
      <w:r>
        <w:rPr>
          <w:b/>
          <w:bCs/>
        </w:rPr>
        <w:t xml:space="preserve">Strategic Migration Planning:</w:t>
      </w:r>
      <w:r>
        <w:t xml:space="preserve"> </w:t>
      </w:r>
      <w:r>
        <w:t xml:space="preserve">Conducted rigorous CMS benchmarking, mapped technical debt, and authored the strategy for a large-scale enterprise transition between legacy systems.</w:t>
      </w:r>
    </w:p>
    <w:p>
      <w:pPr>
        <w:pStyle w:val="Compact"/>
        <w:numPr>
          <w:ilvl w:val="0"/>
          <w:numId w:val="1004"/>
        </w:numPr>
      </w:pPr>
      <w:r>
        <w:rPr>
          <w:b/>
          <w:bCs/>
        </w:rPr>
        <w:t xml:space="preserve">Process Engineering:</w:t>
      </w:r>
      <w:r>
        <w:t xml:space="preserve"> </w:t>
      </w:r>
      <w:r>
        <w:t xml:space="preserve">Established robust development lifecycles, definition of done, and workflows that served as the operational foundation for the new team.</w:t>
      </w:r>
    </w:p>
    <w:p>
      <w:pPr>
        <w:pStyle w:val="Compact"/>
        <w:numPr>
          <w:ilvl w:val="0"/>
          <w:numId w:val="1004"/>
        </w:numPr>
      </w:pPr>
      <w:r>
        <w:rPr>
          <w:b/>
          <w:bCs/>
        </w:rPr>
        <w:t xml:space="preserve">Talent Development:</w:t>
      </w:r>
      <w:r>
        <w:t xml:space="preserve"> </w:t>
      </w:r>
      <w:r>
        <w:t xml:space="preserve">Coached and up-skilled engineering talent, functioning as a technical multiplier to elevate the overall capability of the department.</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Technical Strategy</w:t>
      </w:r>
      <w:r>
        <w:t xml:space="preserve">: Architected and supported scalable, long-term design systems capable of handling high-traffic, global campaigns.</w:t>
      </w:r>
    </w:p>
    <w:p>
      <w:pPr>
        <w:pStyle w:val="BodyText"/>
      </w:pPr>
      <w:r>
        <w:rPr>
          <w:b/>
          <w:bCs/>
        </w:rPr>
        <w:t xml:space="preserve">Agile Leadership &amp; Process Engineering</w:t>
      </w:r>
      <w:r>
        <w:t xml:space="preserve">: Led as a servant-leader across multiple projects. Redefined</w:t>
      </w:r>
      <w:r>
        <w:t xml:space="preserve"> </w:t>
      </w:r>
      <w:r>
        <w:t xml:space="preserve">“Ways of Working,”</w:t>
      </w:r>
      <w:r>
        <w:t xml:space="preserve"> </w:t>
      </w:r>
      <w:r>
        <w:t xml:space="preserve">established rigorous coding best practices, and embedded a mature Agile culture to ensure consistent, high-quality agency output.</w:t>
      </w:r>
    </w:p>
    <w:p>
      <w:pPr>
        <w:pStyle w:val="BodyText"/>
      </w:pPr>
      <w:r>
        <w:rPr>
          <w:b/>
          <w:bCs/>
        </w:rPr>
        <w:t xml:space="preserve">Projects</w:t>
      </w:r>
      <w:r>
        <w:t xml:space="preserve">: Adidas, MARS, Gregg Wallace, Leeds Rhinos, Royal Canin</w:t>
      </w:r>
    </w:p>
    <w:bookmarkEnd w:id="16"/>
    <w:bookmarkStart w:id="17"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Transformation</w:t>
      </w:r>
      <w:r>
        <w:t xml:space="preserve">: Introduced Agile and Scrum practices to the organization for the first time. Functioned as the unofficial Agile champion for the majority of my tenure, scaling these processes to improve team delivery.</w:t>
      </w:r>
    </w:p>
    <w:p>
      <w:pPr>
        <w:pStyle w:val="BodyText"/>
      </w:pPr>
      <w:r>
        <w:rPr>
          <w:b/>
          <w:bCs/>
        </w:rPr>
        <w:t xml:space="preserve">Leadership in Crisis</w:t>
      </w:r>
      <w:r>
        <w:t xml:space="preserve">: Following the successful introduction of Agile workflows, I was formally appointed as Interim Scrum Master (Jun 2019 - Oct 2019) to stabilize delivery and lead a web development team through a critical digital transformation program.</w:t>
      </w:r>
    </w:p>
    <w:bookmarkEnd w:id="17"/>
    <w:bookmarkStart w:id="18"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 Winning custom CMS for large-scale institutions like Local Authorities, Higher Education and third-sector not-for-profit organisations, Open source Interface Design System (Pulsar)</w:t>
      </w:r>
    </w:p>
    <w:bookmarkEnd w:id="18"/>
    <w:bookmarkStart w:id="19"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5"/>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5"/>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19"/>
    <w:bookmarkStart w:id="20"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Greater Leeds Area</w:t>
      </w:r>
      <w:r>
        <w:br/>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6"/>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6"/>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0"/>
    <w:bookmarkStart w:id="21"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1"/>
    <w:bookmarkEnd w:id="22"/>
    <w:bookmarkStart w:id="23"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3"/>
    <w:bookmarkStart w:id="25" w:name="professional-credentials"/>
    <w:p>
      <w:pPr>
        <w:pStyle w:val="Heading2"/>
      </w:pPr>
      <w:r>
        <w:t xml:space="preserve">Professional Credentials</w:t>
      </w:r>
    </w:p>
    <w:p>
      <w:pPr>
        <w:pStyle w:val="FirstParagraph"/>
      </w:pP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4">
        <w:r>
          <w:rPr>
            <w:rStyle w:val="Hyperlink"/>
            <w:i/>
            <w:iCs/>
          </w:rPr>
          <w:t xml:space="preserve">Professional Development</w:t>
        </w:r>
      </w:hyperlink>
      <w:r>
        <w:rPr>
          <w:i/>
          <w:iCs/>
        </w:rPr>
        <w:t xml:space="preserve"> </w:t>
      </w:r>
      <w:r>
        <w:rPr>
          <w:i/>
          <w:iCs/>
        </w:rPr>
        <w:t xml:space="preserve">page.</w:t>
      </w:r>
    </w:p>
    <w:bookmarkEnd w:id="25"/>
    <w:bookmarkStart w:id="26"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Peer mentoring network with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24" Target="/professional-development/" TargetMode="External" /></Relationships>
</file>

<file path=word/_rels/footnotes.xml.rels><?xml version="1.0" encoding="UTF-8"?><Relationships xmlns="http://schemas.openxmlformats.org/package/2006/relationships"><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24" Target="/professional-develop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2026-03-06T15:48:39Z</dcterms:created>
  <dcterms:modified xsi:type="dcterms:W3CDTF">2026-03-06T15:48:39Z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