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2"/>
    <w:bookmarkStart w:id="13" w:name="about"/>
    <w:p>
      <w:pPr>
        <w:pStyle w:val="Heading2"/>
      </w:pPr>
      <w:r>
        <w:t xml:space="preserve">About</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&amp; Retention:</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attrition.</w:t>
      </w:r>
    </w:p>
    <w:p>
      <w:pPr>
        <w:pStyle w:val="Compact"/>
        <w:numPr>
          <w:ilvl w:val="0"/>
          <w:numId w:val="1002"/>
        </w:numPr>
      </w:pPr>
      <w:r>
        <w:rPr>
          <w:b/>
          <w:bCs/>
        </w:rPr>
        <w:t xml:space="preserve">Talent Development:</w:t>
      </w:r>
      <w:r>
        <w:t xml:space="preserve"> </w:t>
      </w:r>
      <w:r>
        <w:t xml:space="preserve">Drove</w:t>
      </w:r>
      <w:r>
        <w:t xml:space="preserve"> </w:t>
      </w:r>
      <w:r>
        <w:t xml:space="preserve">3 promotions</w:t>
      </w:r>
      <w:r>
        <w:t xml:space="preserve"> </w:t>
      </w:r>
      <w:r>
        <w:t xml:space="preserve">through evidence-based cases (Associate to Mid-level, Mid-level to Senior), advocating for talent recognition across organisational boundaries. Mentored engineers who subsequently moved into Engineering Manager roles both internally and externally.</w:t>
      </w:r>
    </w:p>
    <w:p>
      <w:pPr>
        <w:pStyle w:val="Compact"/>
        <w:numPr>
          <w:ilvl w:val="0"/>
          <w:numId w:val="1002"/>
        </w:numPr>
      </w:pPr>
      <w:r>
        <w:rPr>
          <w:b/>
          <w:bCs/>
        </w:rPr>
        <w:t xml:space="preserve">Org Design &amp; Navigation:</w:t>
      </w:r>
      <w:r>
        <w:t xml:space="preserve"> </w:t>
      </w:r>
      <w:r>
        <w:t xml:space="preserve">During restructurings, took on unguided responsibility for scoping and executing team migrations — including the Content Capability team’s moves between pillars — by independently mapping scope, chasing stakeholder alignment, and building consensus from scratch.</w:t>
      </w:r>
    </w:p>
    <w:p>
      <w:pPr>
        <w:pStyle w:val="Compact"/>
        <w:numPr>
          <w:ilvl w:val="0"/>
          <w:numId w:val="1002"/>
        </w:numPr>
      </w:pPr>
      <w:r>
        <w:rPr>
          <w:b/>
          <w:bCs/>
        </w:rPr>
        <w:t xml:space="preserve">Strategic Influence:</w:t>
      </w:r>
      <w:r>
        <w:t xml:space="preserve"> </w:t>
      </w:r>
      <w:r>
        <w:t xml:space="preserve">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graduate due to the Greek economic crisis and systemic university barriers)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r>
        <w:br/>
      </w:r>
      <w:r>
        <w:rPr>
          <w:b/>
          <w:bCs/>
        </w:rPr>
        <w:t xml:space="preserve">Estonia e-Residency</w:t>
      </w:r>
      <w:r>
        <w:t xml:space="preserve"> </w:t>
      </w:r>
      <w:r>
        <w:t xml:space="preserve">· Republic of Estonia, Dec 2015 — Approved as one of the first 2,000 global pilot participants.</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2026-06-17T03:23:36Z</dcterms:created>
  <dcterms:modified xsi:type="dcterms:W3CDTF">2026-06-17T03:23:36Z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