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30"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4"/>
    <w:bookmarkStart w:id="15" w:name="about"/>
    <w:p>
      <w:pPr>
        <w:pStyle w:val="Heading2"/>
      </w:pPr>
      <w:r>
        <w:t xml:space="preserve">About</w:t>
      </w:r>
    </w:p>
    <w:p>
      <w:pPr>
        <w:pStyle w:val="FirstParagraph"/>
      </w:pPr>
      <w:r>
        <w:t xml:space="preserve">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I started in code — frontend, full-stack, CMS architecture, platform engineering — and mastered the craft. What I discovered along the way is that my real strength is people: building teams, developing talent, creating clarity, and designing the organisational conditions where engineers do their best work.</w:t>
      </w:r>
    </w:p>
    <w:p>
      <w:pPr>
        <w:pStyle w:val="BodyText"/>
      </w:pPr>
      <w:r>
        <w:t xml:space="preserve">My leadership arc has grown continuously since 2017: from Scrum Master rotations at Jadu and Leeds Building Society, to bootstrapping and leading the Content Capability team at Utility Warehouse, to managing multiple teams (</w:t>
      </w:r>
      <w:r>
        <w:t xml:space="preserve">8 engineers</w:t>
      </w:r>
      <w:r>
        <w:t xml:space="preserve"> </w:t>
      </w:r>
      <w:r>
        <w:t xml:space="preserve">at peak) across Content Capability and Design Systems. Through three restructurings, I now lead a specialist</w:t>
      </w:r>
      <w:r>
        <w:t xml:space="preserve"> </w:t>
      </w:r>
      <w:r>
        <w:t xml:space="preserve">3-person</w:t>
      </w:r>
      <w:r>
        <w:t xml:space="preserve"> </w:t>
      </w:r>
      <w:r>
        <w:t xml:space="preserve">team covering</w:t>
      </w:r>
      <w:r>
        <w:t xml:space="preserve"> </w:t>
      </w:r>
      <w:r>
        <w:t xml:space="preserve">six critical platform services</w:t>
      </w:r>
      <w:r>
        <w:t xml:space="preserve"> </w:t>
      </w:r>
      <w:r>
        <w:t xml:space="preserve">across the uw.co.uk estate — having built the same team from scratch twice.</w:t>
      </w:r>
    </w:p>
    <w:p>
      <w:pPr>
        <w:pStyle w:val="BodyText"/>
      </w:pPr>
      <w:r>
        <w:t xml:space="preserve">I treat engineering as a business lever — contributing to CapEx/OpEx planning, evaluating vendor ROI, and ensuring technical investments map directly to business outcomes. My technical depth gives me credibility with engineers; my focus on people, process, and organisational design is where I create the most value.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Developing Talent: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of</w:t>
      </w:r>
      <w:r>
        <w:t xml:space="preserve"> </w:t>
      </w:r>
      <w:r>
        <w:t xml:space="preserve">2 engineers</w:t>
      </w:r>
      <w:r>
        <w:t xml:space="preserve">, including a pillar move from Customer Experience to Partner. Every reduction was organisational; zero attrition. Drove</w:t>
      </w:r>
      <w:r>
        <w:t xml:space="preserve"> </w:t>
      </w:r>
      <w:r>
        <w:t xml:space="preserve">3 promotions</w:t>
      </w:r>
      <w:r>
        <w:t xml:space="preserve"> </w:t>
      </w:r>
      <w:r>
        <w:t xml:space="preserve">through evidence-based cases — from Associate to Mid-level and Mid-level to Senior — advocating for talent recognition across organisational boundaries.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moves between pillars (Marketing Capability → Content Capability → CMS Team, spanning Platforms, Customer Experience, and Partner pillars)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 A pattern I would repeat in 2025 when forming the specialist CMS Team from a larger restructuring.</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Expertise in people performance, organisational design, platform strategy, and commercial engineering. Open to Senior Engineering Manager and Head of Engineering roles in the UK.</dc:description>
  <cp:keywords/>
  <dcterms:created xsi:type="dcterms:W3CDTF">2026-06-05T10:56:56Z</dcterms:created>
  <dcterms:modified xsi:type="dcterms:W3CDTF">2026-06-05T10:56:56Z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