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Demonstrated ability to understand people, build trust, and create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voluntary attrition.</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dual-role technical leader for global brands (Adidas, MARS). Alongside architecting frontend solutions, I formally took on Scrum Master responsibilities to elevate the organisation’s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Pioneer: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2026-07-25T12:24:34Z</dcterms:created>
  <dcterms:modified xsi:type="dcterms:W3CDTF">2026-07-25T12:24:34Z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