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Introduced structured delivery in three resistant environments (financial services, a global brand agency, and a greenfield platform team).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 six-figure vendor portfolio across six platform services, active contribution to CapEx/OpEx planning, and vendor ROI evaluation; commercial literacy from sitting with compliance, marketing, data, and IT.</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developed talent other teams had passed over;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skill inbound - a Senior Engineer with mobile expertise - when a mobile backlog entered the team’s remit, rather than stretching the existing team thin;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on an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voluntary ways-of-working forums (off-site, cross-functional) that grew championing into a parallel Scrum Master role, then a formal Interim SM appointment (Jun-Oct 2019) to stabilise Digital Transformation alongside external consultants.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went on into software engineering and is now an Engineering Manager.</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2026-10-01T18:06:48Z</dcterms:created>
  <dcterms:modified xsi:type="dcterms:W3CDTF">2026-10-01T18:06:48Z</dcterms:modified>
</cp:coreProperties>
</file>

<file path=docProps/custom.xml><?xml version="1.0" encoding="utf-8"?>
<Properties xmlns="http://schemas.openxmlformats.org/officeDocument/2006/custom-properties" xmlns:vt="http://schemas.openxmlformats.org/officeDocument/2006/docPropsVTypes"/>
</file>