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bookmarkStart w:id="12" w:name="summary"/>
    <w:p>
      <w:pPr>
        <w:pStyle w:val="Heading2"/>
      </w:pPr>
      <w:r>
        <w:t xml:space="preserve">Summary</w:t>
      </w:r>
    </w:p>
    <w:p>
      <w:pPr>
        <w:pStyle w:val="FirstParagraph"/>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working across regulated industries — financial services, utilities, energy, and public sector technology. I build teams, maintain platforms, and focus on creating the right conditions for people to do good work. Currently managing platform and content services at Utility Warehouse (FTSE 250), a UK multi-service provider of energy, broadband, mobile and insurance.</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 informed by DORA metrics. Using DORA, team health tracking, and Heartbeat surveys to keep performance visible and sustainable.</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CapEx/OpEx planning, vendor evaluation, R&amp;D tax credit documentation. Engineering decisions are business decisions.</w:t>
      </w:r>
    </w:p>
    <w:bookmarkEnd w:id="13"/>
    <w:bookmarkStart w:id="20"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&amp; retention:</w:t>
      </w:r>
      <w:r>
        <w:t xml:space="preserve"> </w:t>
      </w:r>
      <w:r>
        <w:t xml:space="preserve">Managed up to</w:t>
      </w:r>
      <w:r>
        <w:t xml:space="preserve"> </w:t>
      </w:r>
      <w:r>
        <w:t xml:space="preserve">8 engineers</w:t>
      </w:r>
      <w:r>
        <w:t xml:space="preserve"> </w:t>
      </w:r>
      <w:r>
        <w:t xml:space="preserve">across two teams. Everyone who wanted to stay, stayed —</w:t>
      </w:r>
      <w:r>
        <w:t xml:space="preserve"> </w:t>
      </w:r>
      <w:r>
        <w:t xml:space="preserve">100% retention</w:t>
      </w:r>
      <w:r>
        <w:t xml:space="preserve"> </w:t>
      </w:r>
      <w:r>
        <w:t xml:space="preserve">through three restructurings that progressively reduced headcount to a specialist core. All reductions were organisational; zero voluntary attrition.</w:t>
      </w:r>
    </w:p>
    <w:p>
      <w:pPr>
        <w:pStyle w:val="Compact"/>
        <w:numPr>
          <w:ilvl w:val="0"/>
          <w:numId w:val="1002"/>
        </w:numPr>
      </w:pPr>
      <w:r>
        <w:rPr>
          <w:b/>
          <w:bCs/>
        </w:rPr>
        <w:t xml:space="preserve">Measurement-led leadership:</w:t>
      </w:r>
      <w:r>
        <w:t xml:space="preserve"> </w:t>
      </w:r>
      <w:r>
        <w:t xml:space="preserve">Progressed from manual team health tracking (TeamRetro) and custom dashboards to the DX platform. Uses DORA metrics (deployment frequency, lead time, change failure rate, MTTR) to inform promotion cases and bonus decisions. Complements with monthly Peakon Heartbeat surveys — acting on engagement and wellbeing signals, not just collecting them.</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3</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uw.co.uk operated against a</w:t>
      </w:r>
      <w:r>
        <w:t xml:space="preserve"> </w:t>
      </w:r>
      <w:r>
        <w:t xml:space="preserve">99.99% SLO</w:t>
      </w:r>
      <w:r>
        <w:t xml:space="preserve"> </w:t>
      </w:r>
      <w:r>
        <w:t xml:space="preserve">— a single incident in the current year, resolved within hours, zero downtime otherwise — with</w:t>
      </w:r>
      <w:r>
        <w:t xml:space="preserve"> </w:t>
      </w:r>
      <w:r>
        <w:t xml:space="preserve">&lt;3s</w:t>
      </w:r>
      <w:r>
        <w:t xml:space="preserve"> </w:t>
      </w:r>
      <w:r>
        <w:t xml:space="preserve">page load on critical pages.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without breaching the platform SLO, with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for the UK’s 5th largest building society — a regulated financial services environment —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rPr>
          <w:b/>
          <w:bCs/>
        </w:rPr>
        <w:t xml:space="preserve">International University of Greece — Serres Campus</w:t>
      </w:r>
      <w:r>
        <w:br/>
      </w:r>
      <w:r>
        <w:t xml:space="preserve">BSc Informatics Engineering (attended 2007–2012; strong grades in software engineering, programming, and databases; did not complete due to the Greek economic crisis)</w:t>
      </w:r>
    </w:p>
    <w:bookmarkEnd w:id="22"/>
    <w:bookmarkStart w:id="24" w:name="credentials"/>
    <w:p>
      <w:pPr>
        <w:pStyle w:val="Heading2"/>
      </w:pPr>
      <w:r>
        <w:t xml:space="preserve">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2026-07-31T08:19:07Z</dcterms:created>
  <dcterms:modified xsi:type="dcterms:W3CDTF">2026-07-31T08:19:07Z</dcterms:modified>
</cp:coreProperties>
</file>

<file path=docProps/custom.xml><?xml version="1.0" encoding="utf-8"?>
<Properties xmlns="http://schemas.openxmlformats.org/officeDocument/2006/custom-properties" xmlns:vt="http://schemas.openxmlformats.org/officeDocument/2006/docPropsVTypes"/>
</file>