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Introduced structured delivery in three resistant environments (financial services, a global brand agency, and a greenfield platform team).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reorg communication on a cadence — including empty updates when there’s nothing new — so trust holds when certainty can’t.</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 staff complementary pairs, not just headcount.</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w:t>
      </w:r>
      <w:r>
        <w:t xml:space="preserve"> </w:t>
      </w:r>
      <w:r>
        <w:t xml:space="preserve">£200k</w:t>
      </w:r>
      <w:r>
        <w:t xml:space="preserve">+ annual vendor portfolio across six platform services, active contribution to CapEx/OpEx planning, and vendor ROI evaluation; commercial literacy from sitting with compliance, marketing, data, and IT.</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developed talent other teams had passed over;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Took unguided responsibility for scoping and executing team migrations between pillars during restructurings — mapping scope, chasing stakeholder alignment, and building consensus from scratch. Negotiated skill inbound — a Senior Engineer with mobile expertise — when a mobile backlog entered the team’s remit, rather than stretching the existing team thin; challenged and reversed structural decisions that would have eliminated the Design Systems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 — savings at rebrand scale reaching into the hundreds of thousands — and contributed to R&amp;D tax credit claims with audit-ready documentation for external advisors.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a six-figure annual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the most thoroughly documented team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After restructurings reduced the team to</w:t>
      </w:r>
      <w:r>
        <w:t xml:space="preserve"> </w:t>
      </w:r>
      <w:r>
        <w:t xml:space="preserve">2 engineers</w:t>
      </w:r>
      <w:r>
        <w:t xml:space="preserve">, absorbed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voluntary ways-of-working forums (off-site, cross-functional) that grew championing into a parallel Scrum Master role, then a formal Interim SM appointment (Jun–Oct 2019) to stabilise Digital Transformation alongside external consultants.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went on into software engineering and is now an Engineering Manager.</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2026-09-03T12:37:01Z</dcterms:created>
  <dcterms:modified xsi:type="dcterms:W3CDTF">2026-09-03T12:37:01Z</dcterms:modified>
</cp:coreProperties>
</file>

<file path=docProps/custom.xml><?xml version="1.0" encoding="utf-8"?>
<Properties xmlns="http://schemas.openxmlformats.org/officeDocument/2006/custom-properties" xmlns:vt="http://schemas.openxmlformats.org/officeDocument/2006/docPropsVTypes"/>
</file>