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experience across regulated industries — financial services, utilities, energy, global retail, and public sector technology. Proven track record of building and retaining high-performing remote teams, navigating organisational design through complex restructurings, and architecting critical platform services. I treat engineering as a business lever—contributing to CapEx/OpEx planning and ensuring technical investments map directly to business outcomes. While my technical depth across frontend and platform architecture establishes credibility, my true strength lies in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informed by DORA metrics. Measurement-led: using DORA (via DX), team health tracking, and Peakon Heartbeat surveys to ensure performance is visible, sustainable, and connected to career progression.</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p>
      <w:pPr>
        <w:pStyle w:val="Compact"/>
        <w:numPr>
          <w:ilvl w:val="0"/>
          <w:numId w:val="1001"/>
        </w:numPr>
      </w:pPr>
      <w:r>
        <w:rPr>
          <w:b/>
          <w:bCs/>
        </w:rPr>
        <w:t xml:space="preserve">Regulated Industry Experience</w:t>
      </w:r>
      <w:r>
        <w:t xml:space="preserve">: Proven delivery across multiple regulated sectors — financial services (Leeds Building Society), multi-service utilities including energy (Utility Warehouse), and public sector technology (Jadu / Local Authorities). Understanding of compliance-driven environments, data governance, and operating platforms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 — multi-service provider of energy, broadband, mobile &amp; insurance)</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Retention &amp; Development:</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Every reduction was organisational; zero voluntary attrition. Drove</w:t>
      </w:r>
      <w:r>
        <w:t xml:space="preserve"> </w:t>
      </w:r>
      <w:r>
        <w:t xml:space="preserve">3 promotions</w:t>
      </w:r>
      <w:r>
        <w:t xml:space="preserve"> </w:t>
      </w:r>
      <w:r>
        <w:t xml:space="preserve">through evidence-based cases, advocating across organisational boundaries, and mentored engineers who moved into Engineering Manager roles both internally and externally.</w:t>
      </w:r>
    </w:p>
    <w:p>
      <w:pPr>
        <w:pStyle w:val="Compact"/>
        <w:numPr>
          <w:ilvl w:val="0"/>
          <w:numId w:val="1002"/>
        </w:numPr>
      </w:pPr>
      <w:r>
        <w:rPr>
          <w:b/>
          <w:bCs/>
        </w:rPr>
        <w:t xml:space="preserve">Performance Measurement &amp; Team Health:</w:t>
      </w:r>
      <w:r>
        <w:t xml:space="preserve"> </w:t>
      </w:r>
      <w:r>
        <w:t xml:space="preserve">Early adopter of DORA metrics — progressed from manual team health tracking and custom EM dashboards to the organisation-wide DX platform. Delivery data (deployment frequency, lead time, change failure rate, MTTR) directly informs promotion cases and bonus decisions, complemented by monthly Peakon Heartbeat surveys translated into concrete actions within the team’s sphere of influence.</w:t>
      </w:r>
    </w:p>
    <w:p>
      <w:pPr>
        <w:pStyle w:val="Compact"/>
        <w:numPr>
          <w:ilvl w:val="0"/>
          <w:numId w:val="1002"/>
        </w:numPr>
      </w:pPr>
      <w:r>
        <w:rPr>
          <w:b/>
          <w:bCs/>
        </w:rPr>
        <w:t xml:space="preserve">Org Design &amp; Strategic Influence:</w:t>
      </w:r>
      <w:r>
        <w:t xml:space="preserve"> </w:t>
      </w:r>
      <w:r>
        <w:t xml:space="preserve">During restructurings, took on unguided responsibility for scoping and executing team migrations between pillars — independently mapping scope, chasing stakeholder alignment, and building consensus from scratch. Challenged and reversed structural decisions that would have eliminated the Design Systems team, preserving the critical capability that enabled the 2025 company-wide rebrand.</w:t>
      </w:r>
    </w:p>
    <w:p>
      <w:pPr>
        <w:pStyle w:val="Compact"/>
        <w:numPr>
          <w:ilvl w:val="0"/>
          <w:numId w:val="1002"/>
        </w:numPr>
      </w:pPr>
      <w:r>
        <w:rPr>
          <w:b/>
          <w:bCs/>
        </w:rPr>
        <w:t xml:space="preserve">Documentation, Knowledge Culture &amp; Upskilling:</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Inherited an undocumented legacy CMS and conducted systematic discovery (</w:t>
      </w:r>
      <w:r>
        <w:t xml:space="preserve">“Archeology”</w:t>
      </w:r>
      <w:r>
        <w:t xml:space="preserve">) to map what existed before building the culture from scratch. Identified capability gaps (e.g. Kubernetes), closed them through self-directed learning, then trained the team and pushed engineers to own RFCs and cross-team knowledge-sharing.</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with a single incident in the current year — resolved within hours, zero downtime otherwise — and</w:t>
      </w:r>
      <w:r>
        <w:t xml:space="preserve"> </w:t>
      </w:r>
      <w:r>
        <w:t xml:space="preserve">&lt;3s</w:t>
      </w:r>
      <w:r>
        <w:t xml:space="preserve"> </w:t>
      </w:r>
      <w:r>
        <w:t xml:space="preserve">page load times on critical-path pages. Managing a digital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Supported</w:t>
      </w:r>
      <w:r>
        <w:t xml:space="preserve"> </w:t>
      </w:r>
      <w:r>
        <w:t xml:space="preserve">8</w:t>
      </w:r>
      <w:r>
        <w:t xml:space="preserve"> </w:t>
      </w:r>
      <w:r>
        <w:t xml:space="preserve">content teams (</w:t>
      </w:r>
      <w:r>
        <w:t xml:space="preserve">33</w:t>
      </w:r>
      <w:r>
        <w:t xml:space="preserve"> </w:t>
      </w:r>
      <w:r>
        <w:t xml:space="preserve">direct users) and</w:t>
      </w:r>
      <w:r>
        <w:t xml:space="preserve"> </w:t>
      </w:r>
      <w:r>
        <w:t xml:space="preserve">15+</w:t>
      </w:r>
      <w:r>
        <w:t xml:space="preserve"> </w:t>
      </w:r>
      <w:r>
        <w:t xml:space="preserve">engineering teams as platform dependencies. Owns the full platform analytics and compliance stack —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savings at rebrand scale reaching into the hundreds of thousands. Contributed to the company’s R&amp;D tax credit claims by translating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full accountability for the uw.co.uk estate, without losing a single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 — multi-service provider of energy, broadband, mobile &amp; insurance)</w:t>
      </w:r>
      <w:r>
        <w:t xml:space="preserve"> </w:t>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dual-role technical leader for global brands (Adidas, MARS). Alongside architecting frontend solutions, I formally took on Scrum Master responsibilities to elevate the organisation’s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for the UK’s 5th largest building society — a highly regulated financial services environment — while actively mentoring engineering teams to elevate code quality and UX standards.</w:t>
      </w:r>
    </w:p>
    <w:p>
      <w:pPr>
        <w:pStyle w:val="BodyText"/>
      </w:pPr>
      <w:r>
        <w:rPr>
          <w:b/>
          <w:bCs/>
        </w:rPr>
        <w:t xml:space="preserve">Agile Pioneer:</w:t>
      </w:r>
      <w:r>
        <w:t xml:space="preserve"> </w:t>
      </w:r>
      <w:r>
        <w:t xml:space="preserve">Introduced Agile and Scrum to LBS for the first time, shifting a high-bureaucracy, low-velocity organisation from ad-hoc output to sprint-based iterative delivery with measurable velocity. Acted as the primary driver for Agile adoption across the department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rPr>
          <w:b/>
          <w:bCs/>
        </w:rPr>
        <w:t xml:space="preserve">Dates</w:t>
      </w:r>
      <w:r>
        <w:t xml:space="preserve">: Oct 2005 - Dec 2016 (11 years)</w:t>
      </w:r>
    </w:p>
    <w:p>
      <w:pPr>
        <w:pStyle w:val="BodyText"/>
      </w:pPr>
      <w:r>
        <w:t xml:space="preserve">Built the technical and leadership foundation across three domains:</w:t>
      </w:r>
    </w:p>
    <w:p>
      <w:pPr>
        <w:pStyle w:val="Compact"/>
        <w:numPr>
          <w:ilvl w:val="0"/>
          <w:numId w:val="1004"/>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Managed end-to-end client relationships, established professional billing structures (40/40/20 payment terms), and coordinated with distributed development teams. Platforms: WordPress, Drupal, custom HTML/CSS.</w:t>
      </w:r>
    </w:p>
    <w:p>
      <w:pPr>
        <w:pStyle w:val="Compact"/>
        <w:numPr>
          <w:ilvl w:val="0"/>
          <w:numId w:val="1004"/>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(Arduino/Raspberry Pi) — that student went on to earn a BSc and MSc in Manchester and now works as an engineer at Sophos.</w:t>
      </w:r>
    </w:p>
    <w:p>
      <w:pPr>
        <w:pStyle w:val="Compact"/>
        <w:numPr>
          <w:ilvl w:val="0"/>
          <w:numId w:val="1004"/>
        </w:numPr>
      </w:pPr>
      <w:r>
        <w:rPr>
          <w:b/>
          <w:bCs/>
        </w:rPr>
        <w:t xml:space="preserve">Community &amp; Civic Technology (2008–2014):</w:t>
      </w:r>
      <w:r>
        <w:t xml:space="preserve"> </w:t>
      </w:r>
      <w:r>
        <w:t xml:space="preserve">Co-founded the Serres Linux Users Group, organised FOSSCOMM 2012, and managed the digital presence for UNESCO Serres, the local Natural History Museum, an EVS programme, and the MSG Panserraikos sports club. This civic technology portfolio predates and directly informs my later UK community work (GDG Leeds, IxDF Leeds, NUX).</w:t>
      </w:r>
    </w:p>
    <w:p>
      <w:pPr>
        <w:pStyle w:val="Compact"/>
        <w:numPr>
          <w:ilvl w:val="0"/>
          <w:numId w:val="1004"/>
        </w:numPr>
      </w:pPr>
      <w:r>
        <w:rPr>
          <w:b/>
          <w:bCs/>
        </w:rPr>
        <w:t xml:space="preserve">UK Agency Work (2015–2016):</w:t>
      </w:r>
      <w:r>
        <w:t xml:space="preserve"> </w:t>
      </w:r>
      <w:r>
        <w:t xml:space="preserve">Relocated to Leeds. Delivered frontend engineering for agencies — building responsive e-commerce for global fashion and retail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(attended 2007–2012; strong grades in software engineering, programming, and databases; did not complete due to the Greek economic crisis)</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2026-08-03T00:39:50Z</dcterms:created>
  <dcterms:modified xsi:type="dcterms:W3CDTF">2026-08-03T00:39:50Z</dcterms:modified>
</cp:coreProperties>
</file>

<file path=docProps/custom.xml><?xml version="1.0" encoding="utf-8"?>
<Properties xmlns="http://schemas.openxmlformats.org/officeDocument/2006/custom-properties" xmlns:vt="http://schemas.openxmlformats.org/officeDocument/2006/docPropsVTypes"/>
</file>