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20"/>
          <w:szCs w:val="20"/>
        </w:rPr>
        <w:t xml:space="preserve">RÀ THUỐC</w:t>
      </w:r>
    </w:p>
    <w:p>
      <w:pPr>
        <w:pBdr>
          <w:bottom w:val="single" w:color="1F4E79" w:sz="8" w:space="6"/>
        </w:pBdr>
        <w:spacing w:after="60"/>
      </w:pPr>
      <w:r>
        <w:rPr>
          <w:rFonts w:ascii="Arial" w:cs="Arial" w:eastAsia="Arial" w:hAnsi="Arial"/>
          <w:b/>
          <w:bCs/>
          <w:color w:val="1F4E79"/>
          <w:sz w:val="34"/>
          <w:szCs w:val="34"/>
        </w:rPr>
        <w:t xml:space="preserve">A. BRIEF DỰ ÁN — AI Agent rà tương tác thuốc cho bác sĩ và dược sĩ</w:t>
      </w:r>
    </w:p>
    <w:p>
      <w:pPr>
        <w:spacing w:after="200"/>
      </w:pPr>
      <w:r>
        <w:rPr>
          <w:rFonts w:ascii="Arial" w:cs="Arial" w:eastAsia="Arial" w:hAnsi="Arial"/>
          <w:color w:val="7F7F7F"/>
          <w:sz w:val="18"/>
          <w:szCs w:val="18"/>
        </w:rPr>
        <w:t xml:space="preserve">Phiên bản 2.0 · 04/10/2026 · Dự án P-060</w:t>
      </w:r>
    </w:p>
    <w:p>
      <w:pPr>
        <w:pStyle w:val="Heading1"/>
      </w:pPr>
      <w:r>
        <w:rPr>
          <w:rFonts w:ascii="Arial" w:cs="Arial" w:eastAsia="Arial" w:hAnsi="Arial"/>
        </w:rPr>
        <w:t xml:space="preserve">1. Thực trạng và vấn đề</w:t>
      </w:r>
    </w:p>
    <w:p>
      <w:pPr>
        <w:spacing w:after="120"/>
      </w:pPr>
      <w:r>
        <w:rPr>
          <w:rFonts w:ascii="Arial" w:cs="Arial" w:eastAsia="Arial" w:hAnsi="Arial"/>
        </w:rPr>
        <w:t xml:space="preserve">Bệnh nhân dùng nhiều thuốc cùng lúc (đa bệnh, đơn từ nhiều nơi, thêm OTC và thực phẩm chức năng) dễ gặp tương tác nguy hiểm. Bác sĩ và dược sĩ là người chịu trách nhiệm với đơn thuốc, nhưng tra cứu thủ công từng cặp thuốc tốn thời gian và khó đầy đủ.</w:t>
      </w:r>
    </w:p>
    <w:p>
      <w:pPr>
        <w:spacing w:after="120"/>
      </w:pPr>
      <w:r>
        <w:rPr>
          <w:rFonts w:ascii="Arial" w:cs="Arial" w:eastAsia="Arial" w:hAnsi="Arial"/>
        </w:rPr>
        <w:t xml:space="preserve"/>
      </w:r>
      <w:r>
        <w:rPr>
          <w:rFonts w:ascii="Arial" w:cs="Arial" w:eastAsia="Arial" w:hAnsi="Arial"/>
          <w:b/>
          <w:bCs/>
        </w:rPr>
        <w:t xml:space="preserve">Rà Thuốc</w:t>
      </w:r>
      <w:r>
        <w:rPr>
          <w:rFonts w:ascii="Arial" w:cs="Arial" w:eastAsia="Arial" w:hAnsi="Arial"/>
        </w:rPr>
        <w:t xml:space="preserve"> là AI Agent hỗ trợ bác sĩ và dược sĩ rà một đơn thuốc trước khi kê hoặc cấp phát. Agent chạy chuỗi: chuẩn hóa tên thuốc → tra tương tác → xếp mức độ → giải thích có nguồn → guardrail. Kết quả là cảnh báo tham khảo, người có chuyên môn xác nhận và quyết định.</w:t>
      </w:r>
    </w:p>
    <w:p>
      <w:pPr>
        <w:pStyle w:val="Heading1"/>
      </w:pPr>
      <w:r>
        <w:rPr>
          <w:rFonts w:ascii="Arial" w:cs="Arial" w:eastAsia="Arial" w:hAnsi="Arial"/>
        </w:rPr>
        <w:t xml:space="preserve">2. Người dùng và vai trò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3430"/>
        <w:gridCol w:w="4332"/>
      </w:tblGrid>
      <w:tr>
        <w:trPr>
          <w:tblHeader/>
        </w:trPr>
        <w:tc>
          <w:tcPr>
            <w:tcW w:type="dxa" w:w="1264"/>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Vai trò</w:t>
            </w:r>
          </w:p>
        </w:tc>
        <w:tc>
          <w:tcPr>
            <w:tcW w:type="dxa" w:w="3430"/>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Bối cảnh</w:t>
            </w:r>
          </w:p>
        </w:tc>
        <w:tc>
          <w:tcPr>
            <w:tcW w:type="dxa" w:w="4332"/>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Quyền trong hệ thống</w:t>
            </w:r>
          </w:p>
        </w:tc>
      </w:tr>
      <w:tr>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Dược sĩ</w:t>
            </w:r>
          </w:p>
        </w:tc>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Cấp phát tại quầy hoặc làm dược lâm sàng, rà nhiều đơn mỗi ngày.</w:t>
            </w:r>
          </w:p>
        </w:tc>
        <w:tc>
          <w:tcPr>
            <w:tcW w:type="dxa" w:w="433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Nhập đơn, chạy kiểm tra, </w:t>
            </w:r>
            <w:r>
              <w:rPr>
                <w:rFonts w:ascii="Arial" w:cs="Arial" w:eastAsia="Arial" w:hAnsi="Arial"/>
                <w:b/>
                <w:bCs/>
                <w:sz w:val="20"/>
                <w:szCs w:val="20"/>
              </w:rPr>
              <w:t xml:space="preserve">duyệt đơn</w:t>
            </w:r>
            <w:r>
              <w:rPr>
                <w:rFonts w:ascii="Arial" w:cs="Arial" w:eastAsia="Arial" w:hAnsi="Arial"/>
                <w:b w:val="false"/>
                <w:bCs w:val="false"/>
                <w:sz w:val="20"/>
                <w:szCs w:val="20"/>
              </w:rPr>
              <w:t xml:space="preserve"> (hệ thống hỏi lại lần cuối khi bấm Xác nhận). Khi không chắc chắn thì </w:t>
            </w:r>
            <w:r>
              <w:rPr>
                <w:rFonts w:ascii="Arial" w:cs="Arial" w:eastAsia="Arial" w:hAnsi="Arial"/>
                <w:b/>
                <w:bCs/>
                <w:sz w:val="20"/>
                <w:szCs w:val="20"/>
              </w:rPr>
              <w:t xml:space="preserve">chuyển bác sĩ</w:t>
            </w:r>
            <w:r>
              <w:rPr>
                <w:rFonts w:ascii="Arial" w:cs="Arial" w:eastAsia="Arial" w:hAnsi="Arial"/>
                <w:b w:val="false"/>
                <w:bCs w:val="false"/>
                <w:sz w:val="20"/>
                <w:szCs w:val="20"/>
              </w:rPr>
              <w:t xml:space="preserve">.</w:t>
            </w:r>
          </w:p>
        </w:tc>
      </w:tr>
      <w:tr>
        <w:tc>
          <w:tcPr>
            <w:tcW w:type="dxa" w:w="1264"/>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Bác sĩ</w:t>
            </w:r>
          </w:p>
        </w:tc>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Kê đơn, là người quyết định cuối về điều trị.</w:t>
            </w:r>
          </w:p>
        </w:tc>
        <w:tc>
          <w:tcPr>
            <w:tcW w:type="dxa" w:w="433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Nhập đơn, chạy kiểm tra, duyệt đơn. </w:t>
            </w:r>
            <w:r>
              <w:rPr>
                <w:rFonts w:ascii="Arial" w:cs="Arial" w:eastAsia="Arial" w:hAnsi="Arial"/>
                <w:b/>
                <w:bCs/>
                <w:sz w:val="20"/>
                <w:szCs w:val="20"/>
              </w:rPr>
              <w:t xml:space="preserve">Xác nhận lần cuối</w:t>
            </w:r>
            <w:r>
              <w:rPr>
                <w:rFonts w:ascii="Arial" w:cs="Arial" w:eastAsia="Arial" w:hAnsi="Arial"/>
                <w:b w:val="false"/>
                <w:bCs w:val="false"/>
                <w:sz w:val="20"/>
                <w:szCs w:val="20"/>
              </w:rPr>
              <w:t xml:space="preserve"> các ca dược sĩ chuyển lên và ghi kết luận.</w:t>
            </w:r>
          </w:p>
        </w:tc>
      </w:tr>
    </w:tbl>
    <w:p>
      <w:pPr>
        <w:spacing w:after="80"/>
      </w:pPr>
      <w:r>
        <w:rPr>
          <w:rFonts w:ascii="Arial" w:cs="Arial" w:eastAsia="Arial" w:hAnsi="Arial"/>
        </w:rPr>
        <w:t xml:space="preserve"/>
      </w:r>
    </w:p>
    <w:p>
      <w:pPr>
        <w:spacing w:after="120"/>
      </w:pPr>
      <w:r>
        <w:rPr>
          <w:rFonts w:ascii="Arial" w:cs="Arial" w:eastAsia="Arial" w:hAnsi="Arial"/>
        </w:rPr>
        <w:t xml:space="preserve">Bệnh nhân không đăng nhập hệ thống. Đơn thuốc do bác sĩ hoặc dược sĩ đưa vào, định danh bệnh nhân bằng mã.</w:t>
      </w:r>
    </w:p>
    <w:p>
      <w:pPr>
        <w:pStyle w:val="Heading1"/>
      </w:pPr>
      <w:r>
        <w:rPr>
          <w:rFonts w:ascii="Arial" w:cs="Arial" w:eastAsia="Arial" w:hAnsi="Arial"/>
        </w:rPr>
        <w:t xml:space="preserve">3. Quy trình xác nhận (HITL)</w:t>
      </w:r>
    </w:p>
    <w:p>
      <w:pPr>
        <w:pStyle w:val="ListParagraph"/>
        <w:numPr>
          <w:ilvl w:val="0"/>
          <w:numId w:val="2"/>
        </w:numPr>
        <w:spacing w:after="60"/>
      </w:pPr>
      <w:r>
        <w:rPr>
          <w:rFonts w:ascii="Arial" w:cs="Arial" w:eastAsia="Arial" w:hAnsi="Arial"/>
        </w:rPr>
        <w:t xml:space="preserve">Bác sĩ hoặc dược sĩ nhập đơn thuốc, xác minh tên thuốc, bấm Kiểm tra tương tác.</w:t>
      </w:r>
    </w:p>
    <w:p>
      <w:pPr>
        <w:pStyle w:val="ListParagraph"/>
        <w:numPr>
          <w:ilvl w:val="0"/>
          <w:numId w:val="2"/>
        </w:numPr>
        <w:spacing w:after="60"/>
      </w:pPr>
      <w:r>
        <w:rPr>
          <w:rFonts w:ascii="Arial" w:cs="Arial" w:eastAsia="Arial" w:hAnsi="Arial"/>
        </w:rPr>
        <w:t xml:space="preserve">Agent trả kết quả: từng tương tác có mức độ, giải thích, nguồn và ngày cập nhật bản ghi trong CSDL.</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Chắc chắn:</w:t>
      </w:r>
      <w:r>
        <w:rPr>
          <w:rFonts w:ascii="Arial" w:cs="Arial" w:eastAsia="Arial" w:hAnsi="Arial"/>
        </w:rPr>
        <w:t xml:space="preserve"> người nhập bấm Xác nhận duyệt. Với dược sĩ, hệ thống hiện hộp thoại hỏi lại lần cuối trước khi ghi nhận.</w:t>
      </w:r>
    </w:p>
    <w:p>
      <w:pPr>
        <w:pStyle w:val="ListParagraph"/>
        <w:numPr>
          <w:ilvl w:val="0"/>
          <w:numId w:val="2"/>
        </w:numPr>
        <w:spacing w:after="60"/>
      </w:pPr>
      <w:r>
        <w:rPr>
          <w:rFonts w:ascii="Arial" w:cs="Arial" w:eastAsia="Arial" w:hAnsi="Arial"/>
        </w:rPr>
        <w:t xml:space="preserve"/>
      </w:r>
      <w:r>
        <w:rPr>
          <w:rFonts w:ascii="Arial" w:cs="Arial" w:eastAsia="Arial" w:hAnsi="Arial"/>
          <w:b/>
          <w:bCs/>
        </w:rPr>
        <w:t xml:space="preserve">Không chắc chắn:</w:t>
      </w:r>
      <w:r>
        <w:rPr>
          <w:rFonts w:ascii="Arial" w:cs="Arial" w:eastAsia="Arial" w:hAnsi="Arial"/>
        </w:rPr>
        <w:t xml:space="preserve"> dược sĩ chuyển ca cho bác sĩ. Hệ thống sinh </w:t>
      </w:r>
      <w:r>
        <w:rPr>
          <w:rFonts w:ascii="Arial" w:cs="Arial" w:eastAsia="Arial" w:hAnsi="Arial"/>
          <w:b/>
          <w:bCs/>
        </w:rPr>
        <w:t xml:space="preserve">Phiếu bằng chứng</w:t>
      </w:r>
      <w:r>
        <w:rPr>
          <w:rFonts w:ascii="Arial" w:cs="Arial" w:eastAsia="Arial" w:hAnsi="Arial"/>
        </w:rPr>
        <w:t xml:space="preserve"> (một file PDF) gồm giải thích từng tương tác, biểu hiện có thể gặp, nguồn trích dẫn và ngày cập nhật trong CSDL.</w:t>
      </w:r>
    </w:p>
    <w:p>
      <w:pPr>
        <w:pStyle w:val="ListParagraph"/>
        <w:numPr>
          <w:ilvl w:val="0"/>
          <w:numId w:val="2"/>
        </w:numPr>
        <w:spacing w:after="60"/>
      </w:pPr>
      <w:r>
        <w:rPr>
          <w:rFonts w:ascii="Arial" w:cs="Arial" w:eastAsia="Arial" w:hAnsi="Arial"/>
        </w:rPr>
        <w:t xml:space="preserve">Bác sĩ đọc phiếu, xác nhận lần cuối các triệu chứng liên quan trên bệnh nhân và ghi kết luận.</w:t>
      </w:r>
    </w:p>
    <w:p>
      <w:pPr>
        <w:pStyle w:val="ListParagraph"/>
        <w:numPr>
          <w:ilvl w:val="0"/>
          <w:numId w:val="2"/>
        </w:numPr>
        <w:spacing w:after="60"/>
      </w:pPr>
      <w:r>
        <w:rPr>
          <w:rFonts w:ascii="Arial" w:cs="Arial" w:eastAsia="Arial" w:hAnsi="Arial"/>
        </w:rPr>
        <w:t xml:space="preserve">Ca trả về dược sĩ với trạng thái </w:t>
      </w:r>
      <w:r>
        <w:rPr>
          <w:rFonts w:ascii="Arial" w:cs="Arial" w:eastAsia="Arial" w:hAnsi="Arial"/>
          <w:b/>
          <w:bCs/>
        </w:rPr>
        <w:t xml:space="preserve">Đã đọc</w:t>
      </w:r>
      <w:r>
        <w:rPr>
          <w:rFonts w:ascii="Arial" w:cs="Arial" w:eastAsia="Arial" w:hAnsi="Arial"/>
        </w:rPr>
        <w:t xml:space="preserve">. Bấm vào ca là xem ngay phần kết luận của bác sĩ.</w:t>
      </w:r>
    </w:p>
    <w:p>
      <w:pPr>
        <w:pStyle w:val="Heading1"/>
      </w:pPr>
      <w:r>
        <w:rPr>
          <w:rFonts w:ascii="Arial" w:cs="Arial" w:eastAsia="Arial" w:hAnsi="Arial"/>
        </w:rPr>
        <w:t xml:space="preserve">4. Ràng buộc bắt buộc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Ràng buộc</w:t>
            </w:r>
          </w:p>
        </w:tc>
        <w:tc>
          <w:tcPr>
            <w:tcW w:type="dxa" w:w="6499"/>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Cách đáp ứng</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HITL và an toàn</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AI không khuyên ngưng, đổi, kê thuốc và không chẩn đoán. Mọi đơn phải có người xác nhận, có ghi tên và thời gian. Kết luận lâm sàng do bác sĩ viết, không do AI sinh.</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Grounded trên CSDL có nguồn</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Mức độ lấy trực tiếp từ bản ghi, LLM chỉ diễn giải. Kết luận không có trích dẫn bị guardrail chặn.</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Chống bịa tương tác, liều</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Không có bản ghi thì ghi "chưa có bản ghi trong CSDL", không dùng từ "an toàn".</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Tương tác nghiêm trọng</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Banner nổi bật "cần xem xét trước khi kê hoặc cấp phát"; hệ thống gợi ý chuyển bác sĩ.</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Truy vết bằng chứng</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Mỗi tương tác hiện nguồn, đường dẫn và ngày cập nhật. Phiếu bằng chứng là bản chụp cố định tại thời điểm kiểm tra.</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Bảo mật PII/PHI</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Chỉ dùng mã bệnh nhân, không đưa PII vào prompt, phân quyền theo vai trò, ghi log truy cập.</w:t>
            </w:r>
          </w:p>
        </w:tc>
      </w:tr>
      <w:tr>
        <w:tc>
          <w:tcPr>
            <w:tcW w:type="dxa" w:w="252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Nêu rõ giới hạn dữ liệu</w:t>
            </w:r>
          </w:p>
        </w:tc>
        <w:tc>
          <w:tcPr>
            <w:tcW w:type="dxa" w:w="6499"/>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Disclaimer và phạm vi dữ liệu hiện ở mọi màn kết quả và trên phiếu.</w:t>
            </w:r>
          </w:p>
        </w:tc>
      </w:tr>
    </w:tbl>
    <w:p>
      <w:pPr>
        <w:spacing w:after="80"/>
      </w:pPr>
      <w:r>
        <w:rPr>
          <w:rFonts w:ascii="Arial" w:cs="Arial" w:eastAsia="Arial" w:hAnsi="Arial"/>
        </w:rPr>
        <w:t xml:space="preserve"/>
      </w:r>
    </w:p>
    <w:p>
      <w:pPr>
        <w:pStyle w:val="Heading1"/>
      </w:pPr>
      <w:r>
        <w:rPr>
          <w:rFonts w:ascii="Arial" w:cs="Arial" w:eastAsia="Arial" w:hAnsi="Arial"/>
        </w:rPr>
        <w:t xml:space="preserve">5. Phạm vi</w:t>
      </w:r>
    </w:p>
    <w:p>
      <w:pPr>
        <w:pStyle w:val="Heading2"/>
      </w:pPr>
      <w:r>
        <w:rPr>
          <w:rFonts w:ascii="Arial" w:cs="Arial" w:eastAsia="Arial" w:hAnsi="Arial"/>
        </w:rPr>
        <w:t xml:space="preserve">MVP</w:t>
      </w:r>
    </w:p>
    <w:p>
      <w:pPr>
        <w:pStyle w:val="ListParagraph"/>
        <w:numPr>
          <w:ilvl w:val="0"/>
          <w:numId w:val="3"/>
        </w:numPr>
        <w:spacing w:after="60"/>
      </w:pPr>
      <w:r>
        <w:rPr>
          <w:rFonts w:ascii="Arial" w:cs="Arial" w:eastAsia="Arial" w:hAnsi="Arial"/>
        </w:rPr>
        <w:t xml:space="preserve">Đăng nhập 2 vai trò: Bác sĩ, Dược sĩ.</w:t>
      </w:r>
    </w:p>
    <w:p>
      <w:pPr>
        <w:pStyle w:val="ListParagraph"/>
        <w:numPr>
          <w:ilvl w:val="0"/>
          <w:numId w:val="3"/>
        </w:numPr>
        <w:spacing w:after="60"/>
      </w:pPr>
      <w:r>
        <w:rPr>
          <w:rFonts w:ascii="Arial" w:cs="Arial" w:eastAsia="Arial" w:hAnsi="Arial"/>
        </w:rPr>
        <w:t xml:space="preserve">Nhập đơn thuốc (gồm OTC, thực phẩm chức năng), chuẩn hóa tên biệt dược và hoạt chất, hỏi lại khi tên gần đúng.</w:t>
      </w:r>
    </w:p>
    <w:p>
      <w:pPr>
        <w:pStyle w:val="ListParagraph"/>
        <w:numPr>
          <w:ilvl w:val="0"/>
          <w:numId w:val="3"/>
        </w:numPr>
        <w:spacing w:after="60"/>
      </w:pPr>
      <w:r>
        <w:rPr>
          <w:rFonts w:ascii="Arial" w:cs="Arial" w:eastAsia="Arial" w:hAnsi="Arial"/>
        </w:rPr>
        <w:t xml:space="preserve">Phát hiện tương tác thuốc–thuốc, xếp 3 mức Nghiêm trọng, Trung bình, Nhẹ; cảnh báo trùng hoạt chất.</w:t>
      </w:r>
    </w:p>
    <w:p>
      <w:pPr>
        <w:pStyle w:val="ListParagraph"/>
        <w:numPr>
          <w:ilvl w:val="0"/>
          <w:numId w:val="3"/>
        </w:numPr>
        <w:spacing w:after="60"/>
      </w:pPr>
      <w:r>
        <w:rPr>
          <w:rFonts w:ascii="Arial" w:cs="Arial" w:eastAsia="Arial" w:hAnsi="Arial"/>
        </w:rPr>
        <w:t xml:space="preserve">Giải thích có nguồn và ngày cập nhật; guardrail chặn lời khuyên đổi thuốc.</w:t>
      </w:r>
    </w:p>
    <w:p>
      <w:pPr>
        <w:pStyle w:val="ListParagraph"/>
        <w:numPr>
          <w:ilvl w:val="0"/>
          <w:numId w:val="3"/>
        </w:numPr>
        <w:spacing w:after="60"/>
      </w:pPr>
      <w:r>
        <w:rPr>
          <w:rFonts w:ascii="Arial" w:cs="Arial" w:eastAsia="Arial" w:hAnsi="Arial"/>
        </w:rPr>
        <w:t xml:space="preserve">Dược sĩ duyệt có hỏi lại lần cuối; chuyển bác sĩ kèm Phiếu bằng chứng; bác sĩ kết luận; trạng thái Đã đọc trả về dược sĩ.</w:t>
      </w:r>
    </w:p>
    <w:p>
      <w:pPr>
        <w:pStyle w:val="ListParagraph"/>
        <w:numPr>
          <w:ilvl w:val="0"/>
          <w:numId w:val="3"/>
        </w:numPr>
        <w:spacing w:after="60"/>
      </w:pPr>
      <w:r>
        <w:rPr>
          <w:rFonts w:ascii="Arial" w:cs="Arial" w:eastAsia="Arial" w:hAnsi="Arial"/>
        </w:rPr>
        <w:t xml:space="preserve">Lịch sử kiểm tra, mỗi lần là một bản chụp độc lập.</w:t>
      </w:r>
    </w:p>
    <w:p>
      <w:pPr>
        <w:pStyle w:val="Heading2"/>
      </w:pPr>
      <w:r>
        <w:rPr>
          <w:rFonts w:ascii="Arial" w:cs="Arial" w:eastAsia="Arial" w:hAnsi="Arial"/>
        </w:rPr>
        <w:t xml:space="preserve">Nâng cao</w:t>
      </w:r>
    </w:p>
    <w:p>
      <w:pPr>
        <w:pStyle w:val="ListParagraph"/>
        <w:numPr>
          <w:ilvl w:val="0"/>
          <w:numId w:val="3"/>
        </w:numPr>
        <w:spacing w:after="60"/>
      </w:pPr>
      <w:r>
        <w:rPr>
          <w:rFonts w:ascii="Arial" w:cs="Arial" w:eastAsia="Arial" w:hAnsi="Arial"/>
        </w:rPr>
        <w:t xml:space="preserve">Tương tác thuốc–thực phẩm, thuốc–bệnh nền, quy tắc theo dạng bào chế.</w:t>
      </w:r>
    </w:p>
    <w:p>
      <w:pPr>
        <w:pStyle w:val="ListParagraph"/>
        <w:numPr>
          <w:ilvl w:val="0"/>
          <w:numId w:val="3"/>
        </w:numPr>
        <w:spacing w:after="60"/>
      </w:pPr>
      <w:r>
        <w:rPr>
          <w:rFonts w:ascii="Arial" w:cs="Arial" w:eastAsia="Arial" w:hAnsi="Arial"/>
        </w:rPr>
        <w:t xml:space="preserve">Quét đơn thuốc bằng ảnh (OCR).</w:t>
      </w:r>
    </w:p>
    <w:p>
      <w:pPr>
        <w:pStyle w:val="ListParagraph"/>
        <w:numPr>
          <w:ilvl w:val="0"/>
          <w:numId w:val="3"/>
        </w:numPr>
        <w:spacing w:after="60"/>
      </w:pPr>
      <w:r>
        <w:rPr>
          <w:rFonts w:ascii="Arial" w:cs="Arial" w:eastAsia="Arial" w:hAnsi="Arial"/>
        </w:rPr>
        <w:t xml:space="preserve">Thông báo khi có ca mới hoặc kết luận mới; hàng đợi theo khoa.</w:t>
      </w:r>
    </w:p>
    <w:p>
      <w:pPr>
        <w:pStyle w:val="Heading2"/>
      </w:pPr>
      <w:r>
        <w:rPr>
          <w:rFonts w:ascii="Arial" w:cs="Arial" w:eastAsia="Arial" w:hAnsi="Arial"/>
        </w:rPr>
        <w:t xml:space="preserve">Ngoài phạm vi</w:t>
      </w:r>
    </w:p>
    <w:p>
      <w:pPr>
        <w:pStyle w:val="ListParagraph"/>
        <w:numPr>
          <w:ilvl w:val="0"/>
          <w:numId w:val="3"/>
        </w:numPr>
        <w:spacing w:after="60"/>
      </w:pPr>
      <w:r>
        <w:rPr>
          <w:rFonts w:ascii="Arial" w:cs="Arial" w:eastAsia="Arial" w:hAnsi="Arial"/>
        </w:rPr>
        <w:t xml:space="preserve">Chẩn đoán, kê đơn, tính liều cá nhân hóa, mua bán thuốc, kiểm tra số đăng ký thuốc (SĐK).</w:t>
      </w:r>
    </w:p>
    <w:p>
      <w:pPr>
        <w:pStyle w:val="Heading1"/>
      </w:pPr>
      <w:r>
        <w:rPr>
          <w:rFonts w:ascii="Arial" w:cs="Arial" w:eastAsia="Arial" w:hAnsi="Arial"/>
        </w:rPr>
        <w:t xml:space="preserve">6. Công nghệ và dữ liệu</w:t>
      </w:r>
    </w:p>
    <w:p>
      <w:pPr>
        <w:spacing w:after="120"/>
      </w:pPr>
      <w:r>
        <w:rPr>
          <w:rFonts w:ascii="Arial" w:cs="Arial" w:eastAsia="Arial" w:hAnsi="Arial"/>
        </w:rPr>
        <w:t xml:space="preserve">LangGraph điều phối agent · FastAPI · Next.js · Postgres và vector DB · LLM chỉ dùng cho bước giải thích · triển khai cloud.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791"/>
        <w:gridCol w:w="2257"/>
        <w:gridCol w:w="1353"/>
      </w:tblGrid>
      <w:tr>
        <w:trPr>
          <w:tblHeader/>
        </w:trPr>
        <w:tc>
          <w:tcPr>
            <w:tcW w:type="dxa" w:w="1625"/>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Nguồn</w:t>
            </w:r>
          </w:p>
        </w:tc>
        <w:tc>
          <w:tcPr>
            <w:tcW w:type="dxa" w:w="3791"/>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Vai trò</w:t>
            </w:r>
          </w:p>
        </w:tc>
        <w:tc>
          <w:tcPr>
            <w:tcW w:type="dxa" w:w="2257"/>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Giấy phép</w:t>
            </w:r>
          </w:p>
        </w:tc>
        <w:tc>
          <w:tcPr>
            <w:tcW w:type="dxa" w:w="1353"/>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Cập nhật</w:t>
            </w:r>
          </w:p>
        </w:tc>
      </w:tr>
      <w:tr>
        <w:tc>
          <w:tcPr>
            <w:tcW w:type="dxa" w:w="162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DDInter 2.0</w:t>
            </w:r>
          </w:p>
        </w:tc>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Tương tác thuốc–thuốc, mức độ, cơ chế (khoảng 260.000 cặp)</w:t>
            </w:r>
          </w:p>
        </w:tc>
        <w:tc>
          <w:tcPr>
            <w:tcW w:type="dxa" w:w="22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CC BY-NC-SA 4.0</w:t>
            </w:r>
          </w:p>
        </w:tc>
        <w:tc>
          <w:tcPr>
            <w:tcW w:type="dxa" w:w="135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30/09/2026</w:t>
            </w:r>
          </w:p>
        </w:tc>
      </w:tr>
      <w:tr>
        <w:tc>
          <w:tcPr>
            <w:tcW w:type="dxa" w:w="162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Patel 2020</w:t>
            </w:r>
          </w:p>
        </w:tc>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Tương tác với thuốc giảm acid</w:t>
            </w:r>
          </w:p>
        </w:tc>
        <w:tc>
          <w:tcPr>
            <w:tcW w:type="dxa" w:w="22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CC BY-NC 4.0</w:t>
            </w:r>
          </w:p>
        </w:tc>
        <w:tc>
          <w:tcPr>
            <w:tcW w:type="dxa" w:w="135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2020</w:t>
            </w:r>
          </w:p>
        </w:tc>
      </w:tr>
      <w:tr>
        <w:tc>
          <w:tcPr>
            <w:tcW w:type="dxa" w:w="162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PK-DDIP</w:t>
            </w:r>
          </w:p>
        </w:tc>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Mức thay đổi dược động học</w:t>
            </w:r>
          </w:p>
        </w:tc>
        <w:tc>
          <w:tcPr>
            <w:tcW w:type="dxa" w:w="22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Không nêu, chỉ tham khảo nội bộ</w:t>
            </w:r>
          </w:p>
        </w:tc>
        <w:tc>
          <w:tcPr>
            <w:tcW w:type="dxa" w:w="135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30/09/2026</w:t>
            </w:r>
          </w:p>
        </w:tc>
      </w:tr>
      <w:tr>
        <w:tc>
          <w:tcPr>
            <w:tcW w:type="dxa" w:w="162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Nhãn openFDA</w:t>
            </w:r>
          </w:p>
        </w:tc>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Chống chỉ định, cảnh báo trên nhãn</w:t>
            </w:r>
          </w:p>
        </w:tc>
        <w:tc>
          <w:tcPr>
            <w:tcW w:type="dxa" w:w="22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Dữ liệu công</w:t>
            </w:r>
          </w:p>
        </w:tc>
        <w:tc>
          <w:tcPr>
            <w:tcW w:type="dxa" w:w="135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29/09/2026</w:t>
            </w:r>
          </w:p>
        </w:tc>
      </w:tr>
      <w:tr>
        <w:tc>
          <w:tcPr>
            <w:tcW w:type="dxa" w:w="1625"/>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DAV</w:t>
            </w:r>
          </w:p>
        </w:tc>
        <w:tc>
          <w:tcPr>
            <w:tcW w:type="dxa" w:w="3791"/>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Tên biệt dược, hoạt chất tại Việt Nam</w:t>
            </w:r>
          </w:p>
        </w:tc>
        <w:tc>
          <w:tcPr>
            <w:tcW w:type="dxa" w:w="2257"/>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Dữ liệu công khai</w:t>
            </w:r>
          </w:p>
        </w:tc>
        <w:tc>
          <w:tcPr>
            <w:tcW w:type="dxa" w:w="1353"/>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30/09/2026</w:t>
            </w:r>
          </w:p>
        </w:tc>
      </w:tr>
    </w:tbl>
    <w:p>
      <w:pPr>
        <w:spacing w:after="80"/>
      </w:pPr>
      <w:r>
        <w:rPr>
          <w:rFonts w:ascii="Arial" w:cs="Arial" w:eastAsia="Arial" w:hAnsi="Arial"/>
        </w:rPr>
        <w:t xml:space="preserve"/>
      </w:r>
    </w:p>
    <w:p>
      <w:pPr>
        <w:spacing w:after="120"/>
      </w:pPr>
      <w:r>
        <w:rPr>
          <w:rFonts w:ascii="Arial" w:cs="Arial" w:eastAsia="Arial" w:hAnsi="Arial"/>
        </w:rPr>
        <w:t xml:space="preserve">Các giấy phép phi thương mại phải xử lý trước khi ra mắt thương mại.</w:t>
      </w:r>
    </w:p>
    <w:p>
      <w:pPr>
        <w:pStyle w:val="Heading1"/>
      </w:pPr>
      <w:r>
        <w:rPr>
          <w:rFonts w:ascii="Arial" w:cs="Arial" w:eastAsia="Arial" w:hAnsi="Arial"/>
        </w:rPr>
        <w:t xml:space="preserve">7. Tiêu chí thành công</w:t>
      </w:r>
    </w:p>
    <w:p>
      <w:pPr>
        <w:pStyle w:val="ListParagraph"/>
        <w:numPr>
          <w:ilvl w:val="0"/>
          <w:numId w:val="3"/>
        </w:numPr>
        <w:spacing w:after="60"/>
      </w:pPr>
      <w:r>
        <w:rPr>
          <w:rFonts w:ascii="Arial" w:cs="Arial" w:eastAsia="Arial" w:hAnsi="Arial"/>
        </w:rPr>
        <w:t xml:space="preserve">Phát hiện tương tác: độ nhạy ≥ 0,96 và độ đặc hiệu ≥ 0,84 trên golden set 48 ca.</w:t>
      </w:r>
    </w:p>
    <w:p>
      <w:pPr>
        <w:pStyle w:val="ListParagraph"/>
        <w:numPr>
          <w:ilvl w:val="0"/>
          <w:numId w:val="3"/>
        </w:numPr>
        <w:spacing w:after="60"/>
      </w:pPr>
      <w:r>
        <w:rPr>
          <w:rFonts w:ascii="Arial" w:cs="Arial" w:eastAsia="Arial" w:hAnsi="Arial"/>
        </w:rPr>
        <w:t xml:space="preserve">100% kết luận có trích dẫn; 0 câu khuyên ngưng, đổi, kê thuốc trong bộ test guardrail.</w:t>
      </w:r>
    </w:p>
    <w:p>
      <w:pPr>
        <w:pStyle w:val="ListParagraph"/>
        <w:numPr>
          <w:ilvl w:val="0"/>
          <w:numId w:val="3"/>
        </w:numPr>
        <w:spacing w:after="60"/>
      </w:pPr>
      <w:r>
        <w:rPr>
          <w:rFonts w:ascii="Arial" w:cs="Arial" w:eastAsia="Arial" w:hAnsi="Arial"/>
        </w:rPr>
        <w:t xml:space="preserve">Chuẩn hóa tên thuốc đúng ≥ 90% trên tên biệt dược, viết tắt, sai chính tả.</w:t>
      </w:r>
    </w:p>
    <w:p>
      <w:pPr>
        <w:pStyle w:val="ListParagraph"/>
        <w:numPr>
          <w:ilvl w:val="0"/>
          <w:numId w:val="3"/>
        </w:numPr>
        <w:spacing w:after="60"/>
      </w:pPr>
      <w:r>
        <w:rPr>
          <w:rFonts w:ascii="Arial" w:cs="Arial" w:eastAsia="Arial" w:hAnsi="Arial"/>
        </w:rPr>
        <w:t xml:space="preserve">100% đơn đã duyệt có tên người xác nhận; 100% ca chuyển bác sĩ có Phiếu bằng chứng đi kèm.</w:t>
      </w:r>
    </w:p>
    <w:p>
      <w:pPr>
        <w:pStyle w:val="ListParagraph"/>
        <w:numPr>
          <w:ilvl w:val="0"/>
          <w:numId w:val="3"/>
        </w:numPr>
        <w:spacing w:after="60"/>
      </w:pPr>
      <w:r>
        <w:rPr>
          <w:rFonts w:ascii="Arial" w:cs="Arial" w:eastAsia="Arial" w:hAnsi="Arial"/>
        </w:rPr>
        <w:t xml:space="preserve">Dược sĩ rà xong một đơn trong ≤ 3 phút; kết quả trả về trong ≤ 10 giây với đơn ≤ 10 thuốc.</w:t>
      </w:r>
    </w:p>
    <w:p>
      <w:pPr>
        <w:pStyle w:val="Heading1"/>
      </w:pPr>
      <w:r>
        <w:rPr>
          <w:rFonts w:ascii="Arial" w:cs="Arial" w:eastAsia="Arial" w:hAnsi="Arial"/>
        </w:rPr>
        <w:t xml:space="preserve">8. Rủi ro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Rủi ro</w:t>
            </w:r>
          </w:p>
        </w:tc>
        <w:tc>
          <w:tcPr>
            <w:tcW w:type="dxa" w:w="5596"/>
            <w:tcBorders>
              <w:top w:val="single" w:color="BFBFBF" w:sz="4"/>
              <w:left w:val="single" w:color="BFBFBF" w:sz="4"/>
              <w:bottom w:val="single" w:color="BFBFBF" w:sz="4"/>
              <w:right w:val="single" w:color="BFBFBF" w:sz="4"/>
            </w:tcBorders>
            <w:shd w:fill="DCE6F1" w:color="auto" w:val="clear"/>
            <w:tcMar>
              <w:top w:type="dxa" w:w="70"/>
              <w:left w:type="dxa" w:w="110"/>
              <w:bottom w:type="dxa" w:w="70"/>
              <w:right w:type="dxa" w:w="110"/>
            </w:tcMar>
          </w:tcPr>
          <w:p>
            <w:r>
              <w:rPr>
                <w:rFonts w:ascii="Arial" w:cs="Arial" w:eastAsia="Arial" w:hAnsi="Arial"/>
                <w:b/>
                <w:bCs/>
                <w:sz w:val="20"/>
                <w:szCs w:val="20"/>
              </w:rPr>
              <w:t xml:space="preserve">Giảm thiểu</w:t>
            </w:r>
          </w:p>
        </w:tc>
      </w:tr>
      <w:tr>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LLM bịa tương tác hoặc liều</w:t>
            </w:r>
          </w:p>
        </w:tc>
        <w:tc>
          <w:tcPr>
            <w:tcW w:type="dxa" w:w="559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Chỉ diễn giải bản ghi đã tra được, kiểm tra grounding và trích dẫn trước khi trả.</w:t>
            </w:r>
          </w:p>
        </w:tc>
      </w:tr>
      <w:tr>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Hiểu "không cảnh báo" là "an toàn"</w:t>
            </w:r>
          </w:p>
        </w:tc>
        <w:tc>
          <w:tcPr>
            <w:tcW w:type="dxa" w:w="559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Luôn hiện giới hạn dữ liệu, ghi rõ cặp nào chưa có bản ghi.</w:t>
            </w:r>
          </w:p>
        </w:tc>
      </w:tr>
      <w:tr>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Bấm duyệt theo quán tính</w:t>
            </w:r>
          </w:p>
        </w:tc>
        <w:tc>
          <w:tcPr>
            <w:tcW w:type="dxa" w:w="559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Hộp thoại hỏi lại với dược sĩ, bắt buộc ghi chú khi duyệt đơn có cảnh báo nghiêm trọng.</w:t>
            </w:r>
          </w:p>
        </w:tc>
      </w:tr>
      <w:tr>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Ca chuyển bác sĩ bị tồn</w:t>
            </w:r>
          </w:p>
        </w:tc>
        <w:tc>
          <w:tcPr>
            <w:tcW w:type="dxa" w:w="559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Hàng đợi sắp theo mức độ và thời gian chờ, hiện số ca chờ trên thanh điều hướng.</w:t>
            </w:r>
          </w:p>
        </w:tc>
      </w:tr>
      <w:tr>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Dữ liệu nguồn cũ hoặc giấy phép phi thương mại</w:t>
            </w:r>
          </w:p>
        </w:tc>
        <w:tc>
          <w:tcPr>
            <w:tcW w:type="dxa" w:w="559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Hiện ngày cập nhật trên từng bản ghi; rà giấy phép trước khi thương mại hóa.</w:t>
            </w:r>
          </w:p>
        </w:tc>
      </w:tr>
      <w:tr>
        <w:tc>
          <w:tcPr>
            <w:tcW w:type="dxa" w:w="343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Tên thuốc tiếng Việt không khớp CSDL</w:t>
            </w:r>
          </w:p>
        </w:tc>
        <w:tc>
          <w:tcPr>
            <w:tcW w:type="dxa" w:w="559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Bảng alias theo DAV, so khớp gần đúng, bắt buộc người dùng xác minh.</w:t>
            </w:r>
          </w:p>
        </w:tc>
      </w:tr>
    </w:tbl>
    <w:p>
      <w:pPr>
        <w:spacing w:after="80"/>
      </w:pPr>
      <w:r>
        <w:rPr>
          <w:rFonts w:ascii="Arial" w:cs="Arial" w:eastAsia="Arial" w:hAnsi="Arial"/>
        </w:rPr>
        <w:t xml:space="preserve"/>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P-060 · Rà Thuốc · Gate 1 · trang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4E79"/>
      <w:sz w:val="28"/>
      <w:szCs w:val="28"/>
    </w:rPr>
  </w:style>
  <w:style w:type="paragraph" w:styleId="Heading2">
    <w:name w:val="Heading 2"/>
    <w:basedOn w:val="Normal"/>
    <w:next w:val="Normal"/>
    <w:qFormat/>
    <w:pPr>
      <w:keepNext/>
      <w:spacing w:after="100" w:before="200"/>
      <w:outlineLvl w:val="1"/>
    </w:pPr>
    <w:rPr>
      <w:rFonts w:ascii="Arial" w:cs="Arial" w:eastAsia="Arial" w:hAnsi="Arial"/>
      <w:b/>
      <w:bCs/>
      <w:color w:val="40404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2026-10-04T05:17:36.675Z</dcterms:created>
  <dcterms:modified xsi:type="dcterms:W3CDTF">2026-10-04T05:17:36.676Z</dcterms:modified>
</cp:coreProperties>
</file>

<file path=docProps/custom.xml><?xml version="1.0" encoding="utf-8"?>
<Properties xmlns="http://schemas.openxmlformats.org/officeDocument/2006/custom-properties" xmlns:vt="http://schemas.openxmlformats.org/officeDocument/2006/docPropsVTypes"/>
</file>