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20"/>
          <w:szCs w:val="20"/>
        </w:rPr>
        <w:t xml:space="preserve">RÀ THUỐC</w:t>
      </w:r>
    </w:p>
    <w:p>
      <w:pPr>
        <w:pBdr>
          <w:bottom w:val="single" w:color="1F4E79" w:sz="8" w:space="6"/>
        </w:pBdr>
        <w:spacing w:after="60"/>
      </w:pPr>
      <w:r>
        <w:rPr>
          <w:rFonts w:ascii="Arial" w:cs="Arial" w:eastAsia="Arial" w:hAnsi="Arial"/>
          <w:b/>
          <w:bCs/>
          <w:color w:val="1F4E79"/>
          <w:sz w:val="34"/>
          <w:szCs w:val="34"/>
        </w:rPr>
        <w:t xml:space="preserve">B. PRD — Product Requirements Document</w:t>
      </w:r>
    </w:p>
    <w:p>
      <w:pPr>
        <w:spacing w:after="200"/>
      </w:pPr>
      <w:r>
        <w:rPr>
          <w:rFonts w:ascii="Arial" w:cs="Arial" w:eastAsia="Arial" w:hAnsi="Arial"/>
          <w:color w:val="7F7F7F"/>
          <w:sz w:val="18"/>
          <w:szCs w:val="18"/>
        </w:rPr>
        <w:t xml:space="preserve">Phiên bản 2.0 · 04/10/2026 · Dự án P-060</w:t>
      </w:r>
    </w:p>
    <w:p>
      <w:pPr>
        <w:pStyle w:val="Heading1"/>
      </w:pPr>
      <w:r>
        <w:rPr>
          <w:rFonts w:ascii="Arial" w:cs="Arial" w:eastAsia="Arial" w:hAnsi="Arial"/>
        </w:rPr>
        <w:t xml:space="preserve">1. Mục tiêu sản phẩm</w:t>
      </w:r>
    </w:p>
    <w:p>
      <w:pPr>
        <w:spacing w:after="120"/>
      </w:pPr>
      <w:r>
        <w:rPr>
          <w:rFonts w:ascii="Arial" w:cs="Arial" w:eastAsia="Arial" w:hAnsi="Arial"/>
        </w:rPr>
        <w:t xml:space="preserve">Giúp bác sĩ và dược sĩ phát hiện sớm tương tác thuốc trong một đơn, có đủ bằng chứng để tự quyết định, và có quy trình xác nhận rõ người chịu trách nhiệm. Sản phẩm không thay thế phán quyết lâm sàng.</w:t>
      </w:r>
    </w:p>
    <w:p>
      <w:pPr>
        <w:pStyle w:val="Heading1"/>
      </w:pPr>
      <w:r>
        <w:rPr>
          <w:rFonts w:ascii="Arial" w:cs="Arial" w:eastAsia="Arial" w:hAnsi="Arial"/>
        </w:rPr>
        <w:t xml:space="preserve">2. Persona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430"/>
        <w:gridCol w:w="3791"/>
      </w:tblGrid>
      <w:tr>
        <w:trPr>
          <w:tblHeader/>
        </w:trPr>
        <w:tc>
          <w:tcPr>
            <w:tcW w:type="dxa" w:w="1805"/>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Persona</w:t>
            </w:r>
          </w:p>
        </w:tc>
        <w:tc>
          <w:tcPr>
            <w:tcW w:type="dxa" w:w="3430"/>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Bối cảnh</w:t>
            </w:r>
          </w:p>
        </w:tc>
        <w:tc>
          <w:tcPr>
            <w:tcW w:type="dxa" w:w="3791"/>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Nhu cầu</w:t>
            </w:r>
          </w:p>
        </w:tc>
      </w:tr>
      <w:tr>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DS. Minh, dược sĩ</w:t>
            </w:r>
          </w:p>
        </w:tc>
        <w:tc>
          <w:tcPr>
            <w:tcW w:type="dxa" w:w="343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Cấp phát tại quầy, nhận đơn từ nhiều bác sĩ, mỗi đơn chỉ có vài phút.</w:t>
            </w:r>
          </w:p>
        </w:tc>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Thấy cảnh báo xếp ưu tiên, duyệt nhanh đơn rõ ràng, chuyển bác sĩ kèm bằng chứng khi không chắc.</w:t>
            </w:r>
          </w:p>
        </w:tc>
      </w:tr>
      <w:tr>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BS. Hà, bác sĩ</w:t>
            </w:r>
          </w:p>
        </w:tc>
        <w:tc>
          <w:tcPr>
            <w:tcW w:type="dxa" w:w="343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Đang khám, kê đơn cho bệnh nhân đa bệnh; nhận ca do dược sĩ chuyển lên.</w:t>
            </w:r>
          </w:p>
        </w:tc>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Kiểm tra nhanh đơn mình kê; đọc một phiếu gọn có nguồn rồi kết luận, không phải tra lại từ đầu.</w:t>
            </w:r>
          </w:p>
        </w:tc>
      </w:tr>
    </w:tbl>
    <w:p>
      <w:pPr>
        <w:spacing w:after="80"/>
      </w:pPr>
      <w:r>
        <w:rPr>
          <w:rFonts w:ascii="Arial" w:cs="Arial" w:eastAsia="Arial" w:hAnsi="Arial"/>
        </w:rPr>
        <w:t xml:space="preserve"/>
      </w:r>
    </w:p>
    <w:p>
      <w:pPr>
        <w:pStyle w:val="Heading1"/>
      </w:pPr>
      <w:r>
        <w:rPr>
          <w:rFonts w:ascii="Arial" w:cs="Arial" w:eastAsia="Arial" w:hAnsi="Arial"/>
        </w:rPr>
        <w:t xml:space="preserve">3. Yêu cầu chức năng</w:t>
      </w:r>
    </w:p>
    <w:p>
      <w:pPr>
        <w:spacing w:after="120"/>
      </w:pPr>
      <w:r>
        <w:rPr>
          <w:rFonts w:ascii="Arial" w:cs="Arial" w:eastAsia="Arial" w:hAnsi="Arial"/>
        </w:rPr>
        <w:t xml:space="preserve">P0 = MVP, P1 = nâng cao.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264"/>
        <w:gridCol w:w="5957"/>
        <w:gridCol w:w="1083"/>
      </w:tblGrid>
      <w:tr>
        <w:trPr>
          <w:tblHeader/>
        </w:trPr>
        <w:tc>
          <w:tcPr>
            <w:tcW w:type="dxa" w:w="722"/>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ID</w:t>
            </w:r>
          </w:p>
        </w:tc>
        <w:tc>
          <w:tcPr>
            <w:tcW w:type="dxa" w:w="1264"/>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Vai trò</w:t>
            </w:r>
          </w:p>
        </w:tc>
        <w:tc>
          <w:tcPr>
            <w:tcW w:type="dxa" w:w="5957"/>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Yêu cầu</w:t>
            </w:r>
          </w:p>
        </w:tc>
        <w:tc>
          <w:tcPr>
            <w:tcW w:type="dxa" w:w="1083"/>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Ưu tiên</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F1</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Cả hai</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Đăng nhập theo vai trò Bác sĩ hoặc Dược sĩ</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F2</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Cả hai</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Tạo đơn thuốc theo mã bệnh nhân, nhập thuốc (tên, liều), gồm OTC và TPCN</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F3</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Cả hai</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Gõ biệt dược, viết tắt, sai chính tả vẫn nhận đúng; tên gần đúng phải xác minh lại</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F4</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Cả hai</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Xem tương tác xếp mức Nghiêm trọng / Trung bình / Nhẹ, cảnh báo trùng hoạt chất</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F5</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Cả hai</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Mỗi tương tác có giải thích, cơ chế, biểu hiện có thể gặp, nguồn và ngày cập nhật trong CSDL</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F6</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Cả hai</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Thấy banner khi có mức Nghiêm trọng, disclaimer và giới hạn dữ liệu</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F7</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Dược sĩ</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Duyệt đơn; hệ thống hỏi lại lần cuối khi bấm Xác nhận</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F8</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Dược sĩ</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Chuyển bác sĩ khi không chắc chắn, kèm lý do</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F9</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Hệ thống</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Sinh Phiếu bằng chứng (PDF) khi chuyển ca; tải hoặc in được</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F10</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Bác sĩ</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Xem hàng đợi ca, mở phiếu, xác nhận triệu chứng từng cảnh báo, ghi kết luận</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F11</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Dược sĩ</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Thấy ca trả về với trạng thái Đã đọc; bấm vào xem ngay kết luận</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F12</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Bác sĩ</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Duyệt trực tiếp đơn do mình nhập</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F13</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Cả hai</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Xem lịch sử kiểm tra, mỗi lần là một bản chụp độc lập</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P0</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F14</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Cả hai</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Tương tác thuốc–thực phẩm, thuốc–bệnh nền, quy tắc dạng bào chế</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P1</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F15</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Cả hai</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Quét đơn thuốc bằng ảnh (OCR)</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P1</w:t>
            </w:r>
          </w:p>
        </w:tc>
      </w:tr>
      <w:tr>
        <w:tc>
          <w:tcPr>
            <w:tcW w:type="dxa" w:w="72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F16</w:t>
            </w:r>
          </w:p>
        </w:tc>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Cả hai</w:t>
            </w:r>
          </w:p>
        </w:tc>
        <w:tc>
          <w:tcPr>
            <w:tcW w:type="dxa" w:w="59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Xem vết thực thi của agent (tool đã gọi, nguồn, kết quả guardrail)</w:t>
            </w:r>
          </w:p>
        </w:tc>
        <w:tc>
          <w:tcPr>
            <w:tcW w:type="dxa" w:w="108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P1</w:t>
            </w:r>
          </w:p>
        </w:tc>
      </w:tr>
    </w:tbl>
    <w:p>
      <w:pPr>
        <w:spacing w:after="80"/>
      </w:pPr>
      <w:r>
        <w:rPr>
          <w:rFonts w:ascii="Arial" w:cs="Arial" w:eastAsia="Arial" w:hAnsi="Arial"/>
        </w:rPr>
        <w:t xml:space="preserve"/>
      </w:r>
    </w:p>
    <w:p>
      <w:pPr>
        <w:pStyle w:val="Heading1"/>
      </w:pPr>
      <w:r>
        <w:rPr>
          <w:rFonts w:ascii="Arial" w:cs="Arial" w:eastAsia="Arial" w:hAnsi="Arial"/>
        </w:rPr>
        <w:t xml:space="preserve">4. Luật nghiệp vụ và tiêu chí chấp nhận</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Chuẩn hóa:</w:t>
      </w:r>
      <w:r>
        <w:rPr>
          <w:rFonts w:ascii="Arial" w:cs="Arial" w:eastAsia="Arial" w:hAnsi="Arial"/>
        </w:rPr>
        <w:t xml:space="preserve"> khớp chính xác → ok. Gần đúng → suggest, phải xác minh. Còn lại → unknown. Chỉ thuốc ok được đưa vào tra.</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Mức độ:</w:t>
      </w:r>
      <w:r>
        <w:rPr>
          <w:rFonts w:ascii="Arial" w:cs="Arial" w:eastAsia="Arial" w:hAnsi="Arial"/>
        </w:rPr>
        <w:t xml:space="preserve"> lấy từ bản ghi nguồn, LLM không tự đánh giá. Nhiều bản ghi cho một cặp thì lấy mức cao nhất.</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Không có bản ghi:</w:t>
      </w:r>
      <w:r>
        <w:rPr>
          <w:rFonts w:ascii="Arial" w:cs="Arial" w:eastAsia="Arial" w:hAnsi="Arial"/>
        </w:rPr>
        <w:t xml:space="preserve"> ghi "chưa có bản ghi trong CSDL", không dùng từ "an toàn".</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Guardrail:</w:t>
      </w:r>
      <w:r>
        <w:rPr>
          <w:rFonts w:ascii="Arial" w:cs="Arial" w:eastAsia="Arial" w:hAnsi="Arial"/>
        </w:rPr>
        <w:t xml:space="preserve"> chặn câu khuyên ngưng, đổi, tăng, giảm, kê thuốc, chẩn đoán và kết luận thiếu trích dẫn.</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Dược sĩ duyệt:</w:t>
      </w:r>
      <w:r>
        <w:rPr>
          <w:rFonts w:ascii="Arial" w:cs="Arial" w:eastAsia="Arial" w:hAnsi="Arial"/>
        </w:rPr>
        <w:t xml:space="preserve"> bấm Xác nhận duyệt → hộp thoại tóm tắt số cảnh báo theo mức và hỏi lại. Đơn có cảnh báo Nghiêm trọng thì bắt buộc ghi chú. Chỉ ghi nhận sau khi bấm đồng ý lần hai.</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Gợi ý chuyển bác sĩ:</w:t>
      </w:r>
      <w:r>
        <w:rPr>
          <w:rFonts w:ascii="Arial" w:cs="Arial" w:eastAsia="Arial" w:hAnsi="Arial"/>
        </w:rPr>
        <w:t xml:space="preserve"> hệ thống đánh dấu "nên chuyển bác sĩ" khi có cảnh báo Nghiêm trọng, có thuốc unknown, hoặc có cặp chưa có bản ghi. Dược sĩ là người quyết định chuyển.</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Chuyển bác sĩ:</w:t>
      </w:r>
      <w:r>
        <w:rPr>
          <w:rFonts w:ascii="Arial" w:cs="Arial" w:eastAsia="Arial" w:hAnsi="Arial"/>
        </w:rPr>
        <w:t xml:space="preserve"> bắt buộc nhập lý do. Phiếu bằng chứng sinh ngay lúc chuyển và không đổi về sau.</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Bác sĩ kết luận:</w:t>
      </w:r>
      <w:r>
        <w:rPr>
          <w:rFonts w:ascii="Arial" w:cs="Arial" w:eastAsia="Arial" w:hAnsi="Arial"/>
        </w:rPr>
        <w:t xml:space="preserve"> phải đánh dấu đủ mọi cảnh báo (triệu chứng: có ghi nhận / không ghi nhận / cần theo dõi) và ghi kết luận mới gửi được. Kết luận là lời của bác sĩ, hệ thống không sinh hộ.</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Trạng thái Đã đọc:</w:t>
      </w:r>
      <w:r>
        <w:rPr>
          <w:rFonts w:ascii="Arial" w:cs="Arial" w:eastAsia="Arial" w:hAnsi="Arial"/>
        </w:rPr>
        <w:t xml:space="preserve"> bật khi bác sĩ mở phiếu. Dược sĩ thấy ngay, và bấm vào ca là mở thẳng phần kết luận khi đã có.</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Truy vết:</w:t>
      </w:r>
      <w:r>
        <w:rPr>
          <w:rFonts w:ascii="Arial" w:cs="Arial" w:eastAsia="Arial" w:hAnsi="Arial"/>
        </w:rPr>
        <w:t xml:space="preserve"> mọi thao tác duyệt, chuyển, đọc, kết luận ghi vào audit_log (ai, lúc nào).</w:t>
      </w:r>
    </w:p>
    <w:p>
      <w:pPr>
        <w:spacing w:after="120"/>
      </w:pPr>
      <w:r>
        <w:rPr>
          <w:rFonts w:ascii="Arial" w:cs="Arial" w:eastAsia="Arial" w:hAnsi="Arial"/>
        </w:rPr>
        <w:t xml:space="preserve"/>
      </w:r>
      <w:r>
        <w:rPr>
          <w:rFonts w:ascii="Arial" w:cs="Arial" w:eastAsia="Arial" w:hAnsi="Arial"/>
          <w:b/>
          <w:bCs/>
        </w:rPr>
        <w:t xml:space="preserve">Ví dụ chấp nhận.</w:t>
      </w:r>
      <w:r>
        <w:rPr>
          <w:rFonts w:ascii="Arial" w:cs="Arial" w:eastAsia="Arial" w:hAnsi="Arial"/>
        </w:rPr>
        <w:t xml:space="preserve"> Dược sĩ nhập "Warfarin, Aspirin 81mg" → 1 cảnh báo Nghiêm trọng có nguồn và ngày cập nhật, banner, nhãn "nên chuyển bác sĩ". Bấm Chuyển bác sĩ → ca xuất hiện ở hàng đợi bác sĩ kèm file phiếu. Bác sĩ mở phiếu → dược sĩ thấy "Đã đọc". Bác sĩ gửi kết luận → dược sĩ bấm vào ca và đọc được kết luận.</w:t>
      </w:r>
    </w:p>
    <w:p>
      <w:pPr>
        <w:pStyle w:val="Heading1"/>
      </w:pPr>
      <w:r>
        <w:rPr>
          <w:rFonts w:ascii="Arial" w:cs="Arial" w:eastAsia="Arial" w:hAnsi="Arial"/>
        </w:rPr>
        <w:t xml:space="preserve">5. Phiếu bằng chứng</w:t>
      </w:r>
    </w:p>
    <w:p>
      <w:pPr>
        <w:spacing w:after="120"/>
      </w:pPr>
      <w:r>
        <w:rPr>
          <w:rFonts w:ascii="Arial" w:cs="Arial" w:eastAsia="Arial" w:hAnsi="Arial"/>
        </w:rPr>
        <w:t xml:space="preserve">Một file PDF cho mỗi ca, tên dạng PBC-&lt;mã ca&gt;.pdf, là bản chụp tại thời điểm kiểm tra.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Phần</w:t>
            </w:r>
          </w:p>
        </w:tc>
        <w:tc>
          <w:tcPr>
            <w:tcW w:type="dxa" w:w="7040"/>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Nội dung</w:t>
            </w:r>
          </w:p>
        </w:tc>
      </w:tr>
      <w:tr>
        <w:tc>
          <w:tcPr>
            <w:tcW w:type="dxa" w:w="198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Đầu phiếu</w:t>
            </w:r>
          </w:p>
        </w:tc>
        <w:tc>
          <w:tcPr>
            <w:tcW w:type="dxa" w:w="704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Mã ca, mã bệnh nhân, người chuyển, thời điểm kiểm tra, lý do chuyển.</w:t>
            </w:r>
          </w:p>
        </w:tc>
      </w:tr>
      <w:tr>
        <w:tc>
          <w:tcPr>
            <w:tcW w:type="dxa" w:w="198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Đơn thuốc</w:t>
            </w:r>
          </w:p>
        </w:tc>
        <w:tc>
          <w:tcPr>
            <w:tcW w:type="dxa" w:w="704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Tên đã nhập, hoạt chất đã chuẩn hóa, liều, trạng thái xác minh.</w:t>
            </w:r>
          </w:p>
        </w:tc>
      </w:tr>
      <w:tr>
        <w:tc>
          <w:tcPr>
            <w:tcW w:type="dxa" w:w="198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Từng tương tác</w:t>
            </w:r>
          </w:p>
        </w:tc>
        <w:tc>
          <w:tcPr>
            <w:tcW w:type="dxa" w:w="704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Cặp thuốc, mức độ, cơ chế, giải thích, biểu hiện có thể gặp theo nguồn.</w:t>
            </w:r>
          </w:p>
        </w:tc>
      </w:tr>
      <w:tr>
        <w:tc>
          <w:tcPr>
            <w:tcW w:type="dxa" w:w="198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Nguồn</w:t>
            </w:r>
          </w:p>
        </w:tc>
        <w:tc>
          <w:tcPr>
            <w:tcW w:type="dxa" w:w="704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Tên nguồn, trích dẫn, đường dẫn bản ghi, </w:t>
            </w:r>
            <w:r>
              <w:rPr>
                <w:rFonts w:ascii="Arial" w:cs="Arial" w:eastAsia="Arial" w:hAnsi="Arial"/>
                <w:b/>
                <w:bCs/>
                <w:sz w:val="20"/>
                <w:szCs w:val="20"/>
              </w:rPr>
              <w:t xml:space="preserve">ngày cập nhật bản ghi trong CSDL</w:t>
            </w:r>
            <w:r>
              <w:rPr>
                <w:rFonts w:ascii="Arial" w:cs="Arial" w:eastAsia="Arial" w:hAnsi="Arial"/>
                <w:b w:val="false"/>
                <w:bCs w:val="false"/>
                <w:sz w:val="20"/>
                <w:szCs w:val="20"/>
              </w:rPr>
              <w:t xml:space="preserve">.</w:t>
            </w:r>
          </w:p>
        </w:tc>
      </w:tr>
      <w:tr>
        <w:tc>
          <w:tcPr>
            <w:tcW w:type="dxa" w:w="198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Giới hạn</w:t>
            </w:r>
          </w:p>
        </w:tc>
        <w:tc>
          <w:tcPr>
            <w:tcW w:type="dxa" w:w="704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Cặp chưa có bản ghi, thuốc chưa nhận diện, disclaimer.</w:t>
            </w:r>
          </w:p>
        </w:tc>
      </w:tr>
      <w:tr>
        <w:tc>
          <w:tcPr>
            <w:tcW w:type="dxa" w:w="198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Kết luận</w:t>
            </w:r>
          </w:p>
        </w:tc>
        <w:tc>
          <w:tcPr>
            <w:tcW w:type="dxa" w:w="704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Để trống khi sinh phiếu. Sau khi bác sĩ kết luận, phần này được thêm vào bản xem trên hệ thống.</w:t>
            </w:r>
          </w:p>
        </w:tc>
      </w:tr>
    </w:tbl>
    <w:p>
      <w:pPr>
        <w:spacing w:after="80"/>
      </w:pPr>
      <w:r>
        <w:rPr>
          <w:rFonts w:ascii="Arial" w:cs="Arial" w:eastAsia="Arial" w:hAnsi="Arial"/>
        </w:rPr>
        <w:t xml:space="preserve"/>
      </w:r>
    </w:p>
    <w:p>
      <w:pPr>
        <w:pStyle w:val="Heading1"/>
      </w:pPr>
      <w:r>
        <w:rPr>
          <w:rFonts w:ascii="Arial" w:cs="Arial" w:eastAsia="Arial" w:hAnsi="Arial"/>
        </w:rPr>
        <w:t xml:space="preserve">6. Vòng đời của đơn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694"/>
        <w:gridCol w:w="2527"/>
      </w:tblGrid>
      <w:tr>
        <w:trPr>
          <w:tblHeader/>
        </w:trPr>
        <w:tc>
          <w:tcPr>
            <w:tcW w:type="dxa" w:w="1805"/>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Trạng thái</w:t>
            </w:r>
          </w:p>
        </w:tc>
        <w:tc>
          <w:tcPr>
            <w:tcW w:type="dxa" w:w="4694"/>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Chuyển sang khi</w:t>
            </w:r>
          </w:p>
        </w:tc>
        <w:tc>
          <w:tcPr>
            <w:tcW w:type="dxa" w:w="2527"/>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Ai thấy</w:t>
            </w:r>
          </w:p>
        </w:tc>
      </w:tr>
      <w:tr>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Nháp</w:t>
            </w:r>
          </w:p>
        </w:tc>
        <w:tc>
          <w:tcPr>
            <w:tcW w:type="dxa" w:w="469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Vừa chạy kiểm tra xong</w:t>
            </w:r>
          </w:p>
        </w:tc>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Người nhập</w:t>
            </w:r>
          </w:p>
        </w:tc>
      </w:tr>
      <w:tr>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Đã duyệt</w:t>
            </w:r>
          </w:p>
        </w:tc>
        <w:tc>
          <w:tcPr>
            <w:tcW w:type="dxa" w:w="469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Dược sĩ xác nhận lần hai, hoặc bác sĩ duyệt đơn của mình</w:t>
            </w:r>
          </w:p>
        </w:tc>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Người nhập</w:t>
            </w:r>
          </w:p>
        </w:tc>
      </w:tr>
      <w:tr>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Chờ bác sĩ</w:t>
            </w:r>
          </w:p>
        </w:tc>
        <w:tc>
          <w:tcPr>
            <w:tcW w:type="dxa" w:w="469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Dược sĩ bấm Chuyển bác sĩ</w:t>
            </w:r>
          </w:p>
        </w:tc>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Dược sĩ, bác sĩ</w:t>
            </w:r>
          </w:p>
        </w:tc>
      </w:tr>
      <w:tr>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Đã đọc</w:t>
            </w:r>
          </w:p>
        </w:tc>
        <w:tc>
          <w:tcPr>
            <w:tcW w:type="dxa" w:w="469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Bác sĩ mở phiếu</w:t>
            </w:r>
          </w:p>
        </w:tc>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Dược sĩ, bác sĩ</w:t>
            </w:r>
          </w:p>
        </w:tc>
      </w:tr>
      <w:tr>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Đã kết luận</w:t>
            </w:r>
          </w:p>
        </w:tc>
        <w:tc>
          <w:tcPr>
            <w:tcW w:type="dxa" w:w="469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Bác sĩ gửi kết luận</w:t>
            </w:r>
          </w:p>
        </w:tc>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Dược sĩ, bác sĩ (chỉ đọc)</w:t>
            </w:r>
          </w:p>
        </w:tc>
      </w:tr>
    </w:tbl>
    <w:p>
      <w:pPr>
        <w:spacing w:after="80"/>
      </w:pPr>
      <w:r>
        <w:rPr>
          <w:rFonts w:ascii="Arial" w:cs="Arial" w:eastAsia="Arial" w:hAnsi="Arial"/>
        </w:rPr>
        <w:t xml:space="preserve"/>
      </w:r>
    </w:p>
    <w:p>
      <w:pPr>
        <w:pStyle w:val="Heading1"/>
      </w:pPr>
      <w:r>
        <w:rPr>
          <w:rFonts w:ascii="Arial" w:cs="Arial" w:eastAsia="Arial" w:hAnsi="Arial"/>
        </w:rPr>
        <w:t xml:space="preserve">7. Thiết kế agent (LangGraph)</w:t>
      </w:r>
    </w:p>
    <w:p>
      <w:pPr>
        <w:spacing w:after="120"/>
      </w:pPr>
      <w:r>
        <w:rPr>
          <w:rFonts w:ascii="Arial" w:cs="Arial" w:eastAsia="Arial" w:hAnsi="Arial"/>
        </w:rPr>
        <w:t xml:space="preserve">normalize → (clarify nếu còn tên chưa rõ) → lookup → rank → explain → guardrail. Guardrail không đạt thì quay lại explain. Bước xác nhận của con người nằm ngoài graph, ở tầng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Tool</w:t>
            </w:r>
          </w:p>
        </w:tc>
        <w:tc>
          <w:tcPr>
            <w:tcW w:type="dxa" w:w="6499"/>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Đầu vào → đầu ra</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normalizer</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Chuỗi thô → hoạt chất, trạng thái ok / suggest / unknown.</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interaction_lookup</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Cặp hoạt chất → bản ghi (mức độ, cơ chế, nguồn, ngày cập nhật) hoặc rỗng.</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severity_ranker</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Danh sách bản ghi → thứ tự ưu tiên, cờ trùng hoạt chất. Tất định, không dùng LLM.</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guardrail</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Bản nháp giải thích → đạt / không đạt và lý do.</w:t>
            </w:r>
          </w:p>
        </w:tc>
      </w:tr>
    </w:tbl>
    <w:p>
      <w:pPr>
        <w:spacing w:after="80"/>
      </w:pPr>
      <w:r>
        <w:rPr>
          <w:rFonts w:ascii="Arial" w:cs="Arial" w:eastAsia="Arial" w:hAnsi="Arial"/>
        </w:rPr>
        <w:t xml:space="preserve"/>
      </w:r>
    </w:p>
    <w:p>
      <w:pPr>
        <w:pStyle w:val="Heading1"/>
      </w:pPr>
      <w:r>
        <w:rPr>
          <w:rFonts w:ascii="Arial" w:cs="Arial" w:eastAsia="Arial" w:hAnsi="Arial"/>
        </w:rPr>
        <w:t xml:space="preserve">8. Dữ liệu và API</w:t>
      </w:r>
    </w:p>
    <w:p>
      <w:pPr>
        <w:spacing w:after="120"/>
      </w:pPr>
      <w:r>
        <w:rPr>
          <w:rFonts w:ascii="Arial" w:cs="Arial" w:eastAsia="Arial" w:hAnsi="Arial"/>
        </w:rPr>
        <w:t xml:space="preserve"/>
      </w:r>
      <w:r>
        <w:rPr>
          <w:rFonts w:ascii="Arial" w:cs="Arial" w:eastAsia="Arial" w:hAnsi="Arial"/>
          <w:b/>
          <w:bCs/>
        </w:rPr>
        <w:t xml:space="preserve">Bảng chính:</w:t>
      </w:r>
      <w:r>
        <w:rPr>
          <w:rFonts w:ascii="Arial" w:cs="Arial" w:eastAsia="Arial" w:hAnsi="Arial"/>
        </w:rPr>
        <w:t xml:space="preserve"> users(role), drugs, aliases, interactions(severity, mechanism_id, source_id, updated_at), sources(citation, url, license, last_updated), prescriptions(patient_ref), checks, findings, cases(status, reason, from_user, to_user, read_at), conclusions(symptom_marks, note, doctor_id), evidence_files, audit_log.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91"/>
        <w:gridCol w:w="5235"/>
      </w:tblGrid>
      <w:tr>
        <w:trPr>
          <w:tblHeader/>
        </w:trPr>
        <w:tc>
          <w:tcPr>
            <w:tcW w:type="dxa" w:w="3791"/>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API</w:t>
            </w:r>
          </w:p>
        </w:tc>
        <w:tc>
          <w:tcPr>
            <w:tcW w:type="dxa" w:w="5235"/>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Mục đích</w:t>
            </w:r>
          </w:p>
        </w:tc>
      </w:tr>
      <w:tr>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POST /checks</w:t>
            </w:r>
          </w:p>
        </w:tc>
        <w:tc>
          <w:tcPr>
            <w:tcW w:type="dxa" w:w="523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Chạy agent trên một đơn thuốc</w:t>
            </w:r>
          </w:p>
        </w:tc>
      </w:tr>
      <w:tr>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GET /checks/{id}</w:t>
            </w:r>
          </w:p>
        </w:tc>
        <w:tc>
          <w:tcPr>
            <w:tcW w:type="dxa" w:w="523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Kết quả và bản chụp đơn</w:t>
            </w:r>
          </w:p>
        </w:tc>
      </w:tr>
      <w:tr>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POST /checks/{id}/approve</w:t>
            </w:r>
          </w:p>
        </w:tc>
        <w:tc>
          <w:tcPr>
            <w:tcW w:type="dxa" w:w="523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Duyệt đơn (cần cờ confirmed=true ở lần hai)</w:t>
            </w:r>
          </w:p>
        </w:tc>
      </w:tr>
      <w:tr>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POST /checks/{id}/escalate</w:t>
            </w:r>
          </w:p>
        </w:tc>
        <w:tc>
          <w:tcPr>
            <w:tcW w:type="dxa" w:w="523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Chuyển bác sĩ, sinh Phiếu bằng chứng</w:t>
            </w:r>
          </w:p>
        </w:tc>
      </w:tr>
      <w:tr>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GET /cases</w:t>
            </w:r>
          </w:p>
        </w:tc>
        <w:tc>
          <w:tcPr>
            <w:tcW w:type="dxa" w:w="523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Hàng đợi ca theo vai trò</w:t>
            </w:r>
          </w:p>
        </w:tc>
      </w:tr>
      <w:tr>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GET /cases/{id}</w:t>
            </w:r>
          </w:p>
        </w:tc>
        <w:tc>
          <w:tcPr>
            <w:tcW w:type="dxa" w:w="523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Chi tiết ca; bác sĩ gọi lần đầu thì đánh dấu Đã đọc</w:t>
            </w:r>
          </w:p>
        </w:tc>
      </w:tr>
      <w:tr>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GET /cases/{id}/evidence.pdf</w:t>
            </w:r>
          </w:p>
        </w:tc>
        <w:tc>
          <w:tcPr>
            <w:tcW w:type="dxa" w:w="523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Tải Phiếu bằng chứng</w:t>
            </w:r>
          </w:p>
        </w:tc>
      </w:tr>
      <w:tr>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POST /cases/{id}/conclusion</w:t>
            </w:r>
          </w:p>
        </w:tc>
        <w:tc>
          <w:tcPr>
            <w:tcW w:type="dxa" w:w="523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Bác sĩ gửi xác nhận triệu chứng và kết luận</w:t>
            </w:r>
          </w:p>
        </w:tc>
      </w:tr>
    </w:tbl>
    <w:p>
      <w:pPr>
        <w:spacing w:after="80"/>
      </w:pPr>
      <w:r>
        <w:rPr>
          <w:rFonts w:ascii="Arial" w:cs="Arial" w:eastAsia="Arial" w:hAnsi="Arial"/>
        </w:rPr>
        <w:t xml:space="preserve"/>
      </w:r>
    </w:p>
    <w:p>
      <w:pPr>
        <w:spacing w:after="120"/>
      </w:pPr>
      <w:r>
        <w:rPr>
          <w:rFonts w:ascii="Arial" w:cs="Arial" w:eastAsia="Arial" w:hAnsi="Arial"/>
        </w:rPr>
        <w:t xml:space="preserve">Hiện backend đã có POST /interactions/check (chuẩn hóa, tra, xếp mức, giải thích). Các API về duyệt và ca là phần cần xây thêm.</w:t>
      </w:r>
    </w:p>
    <w:p>
      <w:pPr>
        <w:pStyle w:val="Heading1"/>
      </w:pPr>
      <w:r>
        <w:rPr>
          <w:rFonts w:ascii="Arial" w:cs="Arial" w:eastAsia="Arial" w:hAnsi="Arial"/>
        </w:rPr>
        <w:t xml:space="preserve">9. Yêu cầu phi chức năng</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Hiệu năng:</w:t>
      </w:r>
      <w:r>
        <w:rPr>
          <w:rFonts w:ascii="Arial" w:cs="Arial" w:eastAsia="Arial" w:hAnsi="Arial"/>
        </w:rPr>
        <w:t xml:space="preserve"> kết quả ≤ 10 giây với đơn ≤ 10 thuốc; sinh phiếu ≤ 5 giây.</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Bảo mật:</w:t>
      </w:r>
      <w:r>
        <w:rPr>
          <w:rFonts w:ascii="Arial" w:cs="Arial" w:eastAsia="Arial" w:hAnsi="Arial"/>
        </w:rPr>
        <w:t xml:space="preserve"> TLS, phân quyền theo vai trò, chỉ dùng mã bệnh nhân, không đưa PII vào prompt.</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Khả dụng:</w:t>
      </w:r>
      <w:r>
        <w:rPr>
          <w:rFonts w:ascii="Arial" w:cs="Arial" w:eastAsia="Arial" w:hAnsi="Arial"/>
        </w:rPr>
        <w:t xml:space="preserve"> dùng được trên mobile, không chỉ dựa vào màu (kèm ký hiệu !!, !, i, =), có chế độ sáng và tối.</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Ngôn ngữ:</w:t>
      </w:r>
      <w:r>
        <w:rPr>
          <w:rFonts w:ascii="Arial" w:cs="Arial" w:eastAsia="Arial" w:hAnsi="Arial"/>
        </w:rPr>
        <w:t xml:space="preserve"> tiếng Việt, thuật ngữ chuyên môn vừa phải.</w:t>
      </w:r>
    </w:p>
    <w:p>
      <w:pPr>
        <w:pStyle w:val="Heading1"/>
      </w:pPr>
      <w:r>
        <w:rPr>
          <w:rFonts w:ascii="Arial" w:cs="Arial" w:eastAsia="Arial" w:hAnsi="Arial"/>
        </w:rPr>
        <w:t xml:space="preserve">10. Đo lường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52"/>
        <w:gridCol w:w="2166"/>
        <w:gridCol w:w="2708"/>
      </w:tblGrid>
      <w:tr>
        <w:trPr>
          <w:tblHeader/>
        </w:trPr>
        <w:tc>
          <w:tcPr>
            <w:tcW w:type="dxa" w:w="4152"/>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Chỉ số</w:t>
            </w:r>
          </w:p>
        </w:tc>
        <w:tc>
          <w:tcPr>
            <w:tcW w:type="dxa" w:w="2166"/>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Ngưỡng</w:t>
            </w:r>
          </w:p>
        </w:tc>
        <w:tc>
          <w:tcPr>
            <w:tcW w:type="dxa" w:w="2708"/>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Cách đo</w:t>
            </w:r>
          </w:p>
        </w:tc>
      </w:tr>
      <w:t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Độ nhạy / độ đặc hiệu phát hiện tương tác</w:t>
            </w:r>
          </w:p>
        </w:tc>
        <w:tc>
          <w:tcPr>
            <w:tcW w:type="dxa" w:w="216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 0,96 / ≥ 0,84</w:t>
            </w:r>
          </w:p>
        </w:tc>
        <w:tc>
          <w:tcPr>
            <w:tcW w:type="dxa" w:w="270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Golden set 48 ca, eval/run_eval.py</w:t>
            </w:r>
          </w:p>
        </w:tc>
      </w:tr>
      <w:t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Tỷ lệ kết luận có trích dẫn</w:t>
            </w:r>
          </w:p>
        </w:tc>
        <w:tc>
          <w:tcPr>
            <w:tcW w:type="dxa" w:w="216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100%</w:t>
            </w:r>
          </w:p>
        </w:tc>
        <w:tc>
          <w:tcPr>
            <w:tcW w:type="dxa" w:w="270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Metric tất định</w:t>
            </w:r>
          </w:p>
        </w:tc>
      </w:tr>
      <w:t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Tỷ lệ không có lời khuyên đổi thuốc</w:t>
            </w:r>
          </w:p>
        </w:tc>
        <w:tc>
          <w:tcPr>
            <w:tcW w:type="dxa" w:w="216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100%</w:t>
            </w:r>
          </w:p>
        </w:tc>
        <w:tc>
          <w:tcPr>
            <w:tcW w:type="dxa" w:w="270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Bộ câu hỏi đối kháng</w:t>
            </w:r>
          </w:p>
        </w:tc>
      </w:tr>
      <w:t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Faithfulness của giải thích</w:t>
            </w:r>
          </w:p>
        </w:tc>
        <w:tc>
          <w:tcPr>
            <w:tcW w:type="dxa" w:w="216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Theo eval/README.md</w:t>
            </w:r>
          </w:p>
        </w:tc>
        <w:tc>
          <w:tcPr>
            <w:tcW w:type="dxa" w:w="270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Ragas và LLM judge</w:t>
            </w:r>
          </w:p>
        </w:tc>
      </w:tr>
      <w:t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Thời gian dược sĩ rà một đơn</w:t>
            </w:r>
          </w:p>
        </w:tc>
        <w:tc>
          <w:tcPr>
            <w:tcW w:type="dxa" w:w="216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 3 phút</w:t>
            </w:r>
          </w:p>
        </w:tc>
        <w:tc>
          <w:tcPr>
            <w:tcW w:type="dxa" w:w="270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Log giao diện</w:t>
            </w:r>
          </w:p>
        </w:tc>
      </w:tr>
      <w:t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Thời gian từ lúc chuyển đến lúc có kết luận</w:t>
            </w:r>
          </w:p>
        </w:tc>
        <w:tc>
          <w:tcPr>
            <w:tcW w:type="dxa" w:w="216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Theo dõi, chưa đặt ngưỡng</w:t>
            </w:r>
          </w:p>
        </w:tc>
        <w:tc>
          <w:tcPr>
            <w:tcW w:type="dxa" w:w="270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audit_log</w:t>
            </w:r>
          </w:p>
        </w:tc>
      </w:tr>
    </w:tbl>
    <w:p>
      <w:pPr>
        <w:spacing w:after="80"/>
      </w:pPr>
      <w:r>
        <w:rPr>
          <w:rFonts w:ascii="Arial" w:cs="Arial" w:eastAsia="Arial" w:hAnsi="Arial"/>
        </w:rPr>
        <w:t xml:space="preserve"/>
      </w:r>
    </w:p>
    <w:p>
      <w:pPr>
        <w:pStyle w:val="Heading1"/>
      </w:pPr>
      <w:r>
        <w:rPr>
          <w:rFonts w:ascii="Arial" w:cs="Arial" w:eastAsia="Arial" w:hAnsi="Arial"/>
        </w:rPr>
        <w:t xml:space="preserve">11. Câu hỏi mở</w:t>
      </w:r>
    </w:p>
    <w:p>
      <w:pPr>
        <w:pStyle w:val="ListParagraph"/>
        <w:numPr>
          <w:ilvl w:val="0"/>
          <w:numId w:val="2"/>
        </w:numPr>
        <w:spacing w:after="60"/>
      </w:pPr>
      <w:r>
        <w:rPr>
          <w:rFonts w:ascii="Arial" w:cs="Arial" w:eastAsia="Arial" w:hAnsi="Arial"/>
        </w:rPr>
        <w:t xml:space="preserve">Đơn có cảnh báo Nghiêm trọng: bắt buộc chuyển bác sĩ hay chỉ gợi ý? Bản này để gợi ý và bắt buộc ghi chú khi dược sĩ tự duyệt.</w:t>
      </w:r>
    </w:p>
    <w:p>
      <w:pPr>
        <w:pStyle w:val="ListParagraph"/>
        <w:numPr>
          <w:ilvl w:val="0"/>
          <w:numId w:val="2"/>
        </w:numPr>
        <w:spacing w:after="60"/>
      </w:pPr>
      <w:r>
        <w:rPr>
          <w:rFonts w:ascii="Arial" w:cs="Arial" w:eastAsia="Arial" w:hAnsi="Arial"/>
        </w:rPr>
        <w:t xml:space="preserve">Ca chuyển đến một bác sĩ cụ thể (người kê đơn) hay hàng đợi chung? MVP đề xuất hàng đợi chung.</w:t>
      </w:r>
    </w:p>
    <w:p>
      <w:pPr>
        <w:pStyle w:val="ListParagraph"/>
        <w:numPr>
          <w:ilvl w:val="0"/>
          <w:numId w:val="2"/>
        </w:numPr>
        <w:spacing w:after="60"/>
      </w:pPr>
      <w:r>
        <w:rPr>
          <w:rFonts w:ascii="Arial" w:cs="Arial" w:eastAsia="Arial" w:hAnsi="Arial"/>
        </w:rPr>
        <w:t xml:space="preserve">Ngày cập nhật hiện có ở mức nguồn (sources.last_updated). Có cần ghi ở mức từng bản ghi tương tác không?</w:t>
      </w:r>
    </w:p>
    <w:p>
      <w:pPr>
        <w:pStyle w:val="ListParagraph"/>
        <w:numPr>
          <w:ilvl w:val="0"/>
          <w:numId w:val="2"/>
        </w:numPr>
        <w:spacing w:after="60"/>
      </w:pPr>
      <w:r>
        <w:rPr>
          <w:rFonts w:ascii="Arial" w:cs="Arial" w:eastAsia="Arial" w:hAnsi="Arial"/>
        </w:rPr>
        <w:t xml:space="preserve">Thời gian lưu Phiếu bằng chứng và dữ liệu ca là bao lâu?</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P-060 · Rà Thuốc · Gate 1 · trang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4E79"/>
      <w:sz w:val="28"/>
      <w:szCs w:val="28"/>
    </w:rPr>
  </w:style>
  <w:style w:type="paragraph" w:styleId="Heading2">
    <w:name w:val="Heading 2"/>
    <w:basedOn w:val="Normal"/>
    <w:next w:val="Normal"/>
    <w:qFormat/>
    <w:pPr>
      <w:keepNext/>
      <w:spacing w:after="100" w:before="200"/>
      <w:outlineLvl w:val="1"/>
    </w:pPr>
    <w:rPr>
      <w:rFonts w:ascii="Arial" w:cs="Arial" w:eastAsia="Arial" w:hAnsi="Arial"/>
      <w:b/>
      <w:bCs/>
      <w:color w:val="40404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2026-10-04T05:17:36.776Z</dcterms:created>
  <dcterms:modified xsi:type="dcterms:W3CDTF">2026-10-04T05:17:36.776Z</dcterms:modified>
</cp:coreProperties>
</file>

<file path=docProps/custom.xml><?xml version="1.0" encoding="utf-8"?>
<Properties xmlns="http://schemas.openxmlformats.org/officeDocument/2006/custom-properties" xmlns:vt="http://schemas.openxmlformats.org/officeDocument/2006/docPropsVTypes"/>
</file>