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4"/>
          <w:szCs w:val="44"/>
        </w:rPr>
        <w:t xml:space="preserve">RÀ THUỐC</w:t>
      </w:r>
    </w:p>
    <w:p>
      <w:pPr>
        <w:pBdr>
          <w:bottom w:val="single" w:color="CCCCCC" w:sz="6" w:space="8"/>
        </w:pBdr>
        <w:spacing w:after="300"/>
        <w:jc w:val="center"/>
      </w:pPr>
      <w:r>
        <w:rPr>
          <w:b/>
          <w:bCs/>
          <w:color w:val="555555"/>
          <w:sz w:val="26"/>
          <w:szCs w:val="26"/>
        </w:rPr>
        <w:t xml:space="preserve">A. BRIEF DỰ ÁN — AI Agent tra cứu tương tác thuốc và cảnh báo an toàn dùng thuốc</w:t>
      </w:r>
    </w:p>
    <w:p>
      <w:pPr>
        <w:pStyle w:val="Heading1"/>
        <w:pBdr>
          <w:bottom w:val="single" w:color="1F4E5F" w:sz="6" w:space="4"/>
        </w:pBdr>
        <w:spacing w:after="160" w:before="320"/>
      </w:pPr>
      <w:r>
        <w:rPr>
          <w:b/>
          <w:bCs/>
          <w:color w:val="1F4E5F"/>
          <w:sz w:val="30"/>
          <w:szCs w:val="30"/>
        </w:rPr>
        <w:t xml:space="preserve">1. Thực trạng và vấn đề cần giải quyết</w:t>
      </w:r>
    </w:p>
    <w:p>
      <w:pPr>
        <w:spacing w:after="120" w:line="300"/>
      </w:pPr>
      <w:r>
        <w:rPr>
          <w:b w:val="false"/>
          <w:bCs w:val="false"/>
          <w:i w:val="false"/>
          <w:iCs w:val="false"/>
          <w:sz w:val="21"/>
          <w:szCs w:val="21"/>
        </w:rPr>
        <w:t xml:space="preserve">Bệnh nhân dùng nhiều thuốc cùng lúc — do mắc nhiều bệnh, do nhận đơn từ nhiều nơi khác nhau, hoặc do tự dùng thêm thực phẩm chức năng — rất dễ gặp phải tương tác thuốc nguy hiểm mà không hay biết. Việc tự tra cứu thủ công vừa tốn thời gian vừa khó đảm bảo đầy đủ và chính xác.</w:t>
      </w:r>
    </w:p>
    <w:p>
      <w:pPr>
        <w:spacing w:after="120" w:line="300"/>
      </w:pPr>
      <w:r>
        <w:rPr>
          <w:b w:val="false"/>
          <w:bCs w:val="false"/>
          <w:i w:val="false"/>
          <w:iCs w:val="false"/>
          <w:sz w:val="21"/>
          <w:szCs w:val="21"/>
        </w:rPr>
        <w:t xml:space="preserve">Mục tiêu là xây dựng một AI Agent giúp kiểm tra an toàn thuốc, thực hiện bốn bước:</w:t>
      </w:r>
    </w:p>
    <w:p>
      <w:pPr>
        <w:pStyle w:val="ListParagraph"/>
        <w:numPr>
          <w:ilvl w:val="0"/>
          <w:numId w:val="2"/>
        </w:numPr>
        <w:spacing w:after="70" w:line="290"/>
      </w:pPr>
      <w:r>
        <w:rPr>
          <w:b w:val="false"/>
          <w:bCs w:val="false"/>
          <w:sz w:val="21"/>
          <w:szCs w:val="21"/>
        </w:rPr>
        <w:t xml:space="preserve">Nhận danh sách thuốc bệnh nhân đang dùng, bao gồm cả thuốc không kê đơn (OTC) và thực phẩm chức năng.</w:t>
      </w:r>
    </w:p>
    <w:p>
      <w:pPr>
        <w:pStyle w:val="ListParagraph"/>
        <w:numPr>
          <w:ilvl w:val="0"/>
          <w:numId w:val="2"/>
        </w:numPr>
        <w:spacing w:after="70" w:line="290"/>
      </w:pPr>
      <w:r>
        <w:rPr>
          <w:b w:val="false"/>
          <w:bCs w:val="false"/>
          <w:sz w:val="21"/>
          <w:szCs w:val="21"/>
        </w:rPr>
        <w:t xml:space="preserve">Tra cứu tương tác thuốc–thuốc và thuốc–thực phẩm.</w:t>
      </w:r>
    </w:p>
    <w:p>
      <w:pPr>
        <w:pStyle w:val="ListParagraph"/>
        <w:numPr>
          <w:ilvl w:val="0"/>
          <w:numId w:val="2"/>
        </w:numPr>
        <w:spacing w:after="70" w:line="290"/>
      </w:pPr>
      <w:r>
        <w:rPr>
          <w:b w:val="false"/>
          <w:bCs w:val="false"/>
          <w:sz w:val="21"/>
          <w:szCs w:val="21"/>
        </w:rPr>
        <w:t xml:space="preserve">Xếp mức độ cảnh báo theo mức độ nghiêm trọng.</w:t>
      </w:r>
    </w:p>
    <w:p>
      <w:pPr>
        <w:pStyle w:val="ListParagraph"/>
        <w:numPr>
          <w:ilvl w:val="0"/>
          <w:numId w:val="2"/>
        </w:numPr>
        <w:spacing w:after="70" w:line="290"/>
      </w:pPr>
      <w:r>
        <w:rPr>
          <w:b w:val="false"/>
          <w:bCs w:val="false"/>
          <w:sz w:val="21"/>
          <w:szCs w:val="21"/>
        </w:rPr>
        <w:t xml:space="preserve">Giải thích kết quả dễ hiểu và gợi ý câu hỏi để bệnh nhân trao đổi thêm với bác sĩ/dược sĩ.</w:t>
      </w:r>
    </w:p>
    <w:p>
      <w:pPr>
        <w:spacing w:after="120" w:line="300"/>
      </w:pPr>
      <w:r>
        <w:rPr>
          <w:b/>
          <w:bCs/>
          <w:i w:val="false"/>
          <w:iCs w:val="false"/>
          <w:sz w:val="21"/>
          <w:szCs w:val="21"/>
        </w:rPr>
        <w:t xml:space="preserve">Quy trình xử lý của agent: chuẩn hóa tên thuốc → tra tương tác → xếp mức độ → giải thích có nguồn trích dẫn.</w:t>
      </w:r>
    </w:p>
    <w:p>
      <w:pPr>
        <w:pStyle w:val="Heading1"/>
        <w:pBdr>
          <w:bottom w:val="single" w:color="1F4E5F" w:sz="6" w:space="4"/>
        </w:pBdr>
        <w:spacing w:after="160" w:before="320"/>
      </w:pPr>
      <w:r>
        <w:rPr>
          <w:b/>
          <w:bCs/>
          <w:color w:val="1F4E5F"/>
          <w:sz w:val="30"/>
          <w:szCs w:val="30"/>
        </w:rPr>
        <w:t xml:space="preserve">2. Ràng buộc bắt buộc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5F" w:val="clear"/>
            <w:tcMar>
              <w:top w:type="dxa" w:w="80"/>
              <w:left w:type="dxa" w:w="100"/>
              <w:bottom w:type="dxa" w:w="80"/>
              <w:right w:type="dxa" w:w="100"/>
            </w:tcMar>
            <w:vAlign w:val="center"/>
          </w:tcPr>
          <w:p>
            <w:pPr>
              <w:spacing w:after="40"/>
            </w:pPr>
            <w:r>
              <w:rPr>
                <w:b/>
                <w:bCs/>
                <w:color w:val="FFFFFF"/>
                <w:sz w:val="20"/>
                <w:szCs w:val="20"/>
              </w:rPr>
              <w:t xml:space="preserve">Ràng buộc</w:t>
            </w:r>
          </w:p>
        </w:tc>
        <w:tc>
          <w:tcPr>
            <w:tcW w:type="dxa" w:w="6300"/>
            <w:shd w:fill="1F4E5F" w:val="clear"/>
            <w:tcMar>
              <w:top w:type="dxa" w:w="80"/>
              <w:left w:type="dxa" w:w="100"/>
              <w:bottom w:type="dxa" w:w="80"/>
              <w:right w:type="dxa" w:w="100"/>
            </w:tcMar>
            <w:vAlign w:val="center"/>
          </w:tcPr>
          <w:p>
            <w:pPr>
              <w:spacing w:after="40"/>
            </w:pPr>
            <w:r>
              <w:rPr>
                <w:b/>
                <w:bCs/>
                <w:color w:val="FFFFFF"/>
                <w:sz w:val="20"/>
                <w:szCs w:val="20"/>
              </w:rPr>
              <w:t xml:space="preserve">Cách đáp ứng</w:t>
            </w:r>
          </w:p>
        </w:tc>
      </w:tr>
      <w:tr>
        <w:tc>
          <w:tcPr>
            <w:tcW w:type="dxa" w:w="3200"/>
            <w:tcMar>
              <w:top w:type="dxa" w:w="80"/>
              <w:left w:type="dxa" w:w="100"/>
              <w:bottom w:type="dxa" w:w="80"/>
              <w:right w:type="dxa" w:w="100"/>
            </w:tcMar>
            <w:vAlign w:val="center"/>
          </w:tcPr>
          <w:p>
            <w:pPr>
              <w:spacing w:after="40"/>
            </w:pPr>
            <w:r>
              <w:rPr>
                <w:b w:val="false"/>
                <w:bCs w:val="false"/>
                <w:color w:val="222222"/>
                <w:sz w:val="20"/>
                <w:szCs w:val="20"/>
              </w:rPr>
              <w:t xml:space="preserve">HITL và an toàn</w:t>
            </w:r>
          </w:p>
        </w:tc>
        <w:tc>
          <w:tcPr>
            <w:tcW w:type="dxa" w:w="6300"/>
            <w:tcMar>
              <w:top w:type="dxa" w:w="80"/>
              <w:left w:type="dxa" w:w="100"/>
              <w:bottom w:type="dxa" w:w="80"/>
              <w:right w:type="dxa" w:w="100"/>
            </w:tcMar>
            <w:vAlign w:val="center"/>
          </w:tcPr>
          <w:p>
            <w:pPr>
              <w:spacing w:after="40"/>
            </w:pPr>
            <w:r>
              <w:rPr>
                <w:b w:val="false"/>
                <w:bCs w:val="false"/>
                <w:color w:val="222222"/>
                <w:sz w:val="20"/>
                <w:szCs w:val="20"/>
              </w:rPr>
              <w:t xml:space="preserve">Kết quả agent đưa ra chỉ mang tính tham khảo; bác sĩ/dược sĩ là người quyết định thay đổi thuốc. AI không được khuyên ngừng/đổi/kê thuốc, không chẩn đoán. Guardrail chặn đầu ra vi phạm, có kiểm thử tự động.</w:t>
            </w:r>
          </w:p>
        </w:tc>
      </w:tr>
      <w:tr>
        <w:tc>
          <w:tcPr>
            <w:tcW w:type="dxa" w:w="32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Grounded tuyệt đối trên CSDL có nguồn</w:t>
            </w:r>
          </w:p>
        </w:tc>
        <w:tc>
          <w:tcPr>
            <w:tcW w:type="dxa" w:w="63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Mọi kết luận phải gắn trích dẫn nguồn; nếu không có nguồn thì không được phát biểu.</w:t>
            </w:r>
          </w:p>
        </w:tc>
      </w:tr>
      <w:tr>
        <w:tc>
          <w:tcPr>
            <w:tcW w:type="dxa" w:w="3200"/>
            <w:tcMar>
              <w:top w:type="dxa" w:w="80"/>
              <w:left w:type="dxa" w:w="100"/>
              <w:bottom w:type="dxa" w:w="80"/>
              <w:right w:type="dxa" w:w="100"/>
            </w:tcMar>
            <w:vAlign w:val="center"/>
          </w:tcPr>
          <w:p>
            <w:pPr>
              <w:spacing w:after="40"/>
            </w:pPr>
            <w:r>
              <w:rPr>
                <w:b w:val="false"/>
                <w:bCs w:val="false"/>
                <w:color w:val="222222"/>
                <w:sz w:val="20"/>
                <w:szCs w:val="20"/>
              </w:rPr>
              <w:t xml:space="preserve">Chống bịa tương tác / liều</w:t>
            </w:r>
          </w:p>
        </w:tc>
        <w:tc>
          <w:tcPr>
            <w:tcW w:type="dxa" w:w="6300"/>
            <w:tcMar>
              <w:top w:type="dxa" w:w="80"/>
              <w:left w:type="dxa" w:w="100"/>
              <w:bottom w:type="dxa" w:w="80"/>
              <w:right w:type="dxa" w:w="100"/>
            </w:tcMar>
            <w:vAlign w:val="center"/>
          </w:tcPr>
          <w:p>
            <w:pPr>
              <w:spacing w:after="40"/>
            </w:pPr>
            <w:r>
              <w:rPr>
                <w:b w:val="false"/>
                <w:bCs w:val="false"/>
                <w:color w:val="222222"/>
                <w:sz w:val="20"/>
                <w:szCs w:val="20"/>
              </w:rPr>
              <w:t xml:space="preserve">Nếu không tìm thấy bản ghi tương ứng, trả về "chưa có bản ghi", không được suy đoán.</w:t>
            </w:r>
          </w:p>
        </w:tc>
      </w:tr>
      <w:tr>
        <w:tc>
          <w:tcPr>
            <w:tcW w:type="dxa" w:w="32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Tương tác nghiêm trọng</w:t>
            </w:r>
          </w:p>
        </w:tc>
        <w:tc>
          <w:tcPr>
            <w:tcW w:type="dxa" w:w="63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Hiển thị cảnh báo nổi bật và khuyến cáo liên hệ y tế ngay.</w:t>
            </w:r>
          </w:p>
        </w:tc>
      </w:tr>
      <w:tr>
        <w:tc>
          <w:tcPr>
            <w:tcW w:type="dxa" w:w="3200"/>
            <w:tcMar>
              <w:top w:type="dxa" w:w="80"/>
              <w:left w:type="dxa" w:w="100"/>
              <w:bottom w:type="dxa" w:w="80"/>
              <w:right w:type="dxa" w:w="100"/>
            </w:tcMar>
            <w:vAlign w:val="center"/>
          </w:tcPr>
          <w:p>
            <w:pPr>
              <w:spacing w:after="40"/>
            </w:pPr>
            <w:r>
              <w:rPr>
                <w:b w:val="false"/>
                <w:bCs w:val="false"/>
                <w:color w:val="222222"/>
                <w:sz w:val="20"/>
                <w:szCs w:val="20"/>
              </w:rPr>
              <w:t xml:space="preserve">Bảo mật PII/PHI</w:t>
            </w:r>
          </w:p>
        </w:tc>
        <w:tc>
          <w:tcPr>
            <w:tcW w:type="dxa" w:w="6300"/>
            <w:tcMar>
              <w:top w:type="dxa" w:w="80"/>
              <w:left w:type="dxa" w:w="100"/>
              <w:bottom w:type="dxa" w:w="80"/>
              <w:right w:type="dxa" w:w="100"/>
            </w:tcMar>
            <w:vAlign w:val="center"/>
          </w:tcPr>
          <w:p>
            <w:pPr>
              <w:spacing w:after="40"/>
            </w:pPr>
            <w:r>
              <w:rPr>
                <w:b w:val="false"/>
                <w:bCs w:val="false"/>
                <w:color w:val="222222"/>
                <w:sz w:val="20"/>
                <w:szCs w:val="20"/>
              </w:rPr>
              <w:t xml:space="preserve">Ẩn thông tin cá nhân theo mặc định, mã hóa dữ liệu, phân quyền truy cập, ghi log truy cập.</w:t>
            </w:r>
          </w:p>
        </w:tc>
      </w:tr>
      <w:tr>
        <w:tc>
          <w:tcPr>
            <w:tcW w:type="dxa" w:w="32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Nêu rõ giới hạn dữ liệu</w:t>
            </w:r>
          </w:p>
        </w:tc>
        <w:tc>
          <w:tcPr>
            <w:tcW w:type="dxa" w:w="63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Hiển thị thông điệp giới hạn dữ liệu ở mọi màn hình kết quả.</w:t>
            </w:r>
          </w:p>
        </w:tc>
      </w:tr>
    </w:tbl>
    <w:p>
      <w:pPr>
        <w:pStyle w:val="Heading1"/>
        <w:pBdr>
          <w:bottom w:val="single" w:color="1F4E5F" w:sz="6" w:space="4"/>
        </w:pBdr>
        <w:spacing w:after="160" w:before="320"/>
      </w:pPr>
      <w:r>
        <w:rPr>
          <w:b/>
          <w:bCs/>
          <w:color w:val="1F4E5F"/>
          <w:sz w:val="30"/>
          <w:szCs w:val="30"/>
        </w:rPr>
        <w:t xml:space="preserve">3. Người dùng</w:t>
      </w:r>
    </w:p>
    <w:p>
      <w:pPr>
        <w:pStyle w:val="ListParagraph"/>
        <w:numPr>
          <w:ilvl w:val="0"/>
          <w:numId w:val="2"/>
        </w:numPr>
        <w:spacing w:after="70" w:line="290"/>
      </w:pPr>
      <w:r>
        <w:rPr>
          <w:b w:val="false"/>
          <w:bCs w:val="false"/>
          <w:sz w:val="21"/>
          <w:szCs w:val="21"/>
        </w:rPr>
        <w:t xml:space="preserve">Bệnh nhân / người nhà: cần biết thuốc mình đang dùng có xung đột với nhau hay không.</w:t>
      </w:r>
    </w:p>
    <w:p>
      <w:pPr>
        <w:pStyle w:val="ListParagraph"/>
        <w:numPr>
          <w:ilvl w:val="0"/>
          <w:numId w:val="2"/>
        </w:numPr>
        <w:spacing w:after="70" w:line="290"/>
      </w:pPr>
      <w:r>
        <w:rPr>
          <w:b w:val="false"/>
          <w:bCs w:val="false"/>
          <w:sz w:val="21"/>
          <w:szCs w:val="21"/>
        </w:rPr>
        <w:t xml:space="preserve">Dược sĩ / bác sĩ: cần xem nhanh kết quả, xác nhận, điều chỉnh mức cảnh báo, ghi chú cho bệnh nhân.</w:t>
      </w:r>
    </w:p>
    <w:p>
      <w:pPr>
        <w:pStyle w:val="Heading1"/>
        <w:pBdr>
          <w:bottom w:val="single" w:color="1F4E5F" w:sz="6" w:space="4"/>
        </w:pBdr>
        <w:spacing w:after="160" w:before="320"/>
      </w:pPr>
      <w:r>
        <w:rPr>
          <w:b/>
          <w:bCs/>
          <w:color w:val="1F4E5F"/>
          <w:sz w:val="30"/>
          <w:szCs w:val="30"/>
        </w:rPr>
        <w:t xml:space="preserve">4. Phạm vi</w:t>
      </w:r>
    </w:p>
    <w:p>
      <w:pPr>
        <w:spacing w:after="80" w:before="160"/>
      </w:pPr>
      <w:r>
        <w:rPr>
          <w:b/>
          <w:bCs/>
          <w:color w:val="333333"/>
          <w:sz w:val="23"/>
          <w:szCs w:val="23"/>
        </w:rPr>
        <w:t xml:space="preserve">Cơ bản (MVP)</w:t>
      </w:r>
    </w:p>
    <w:p>
      <w:pPr>
        <w:pStyle w:val="ListParagraph"/>
        <w:numPr>
          <w:ilvl w:val="0"/>
          <w:numId w:val="2"/>
        </w:numPr>
        <w:spacing w:after="70" w:line="290"/>
      </w:pPr>
      <w:r>
        <w:rPr>
          <w:b w:val="false"/>
          <w:bCs w:val="false"/>
          <w:sz w:val="21"/>
          <w:szCs w:val="21"/>
        </w:rPr>
        <w:t xml:space="preserve">Ứng dụng được deploy, hỗ trợ tối thiểu 2 vai trò (bệnh nhân, dược sĩ/bác sĩ).</w:t>
      </w:r>
    </w:p>
    <w:p>
      <w:pPr>
        <w:pStyle w:val="ListParagraph"/>
        <w:numPr>
          <w:ilvl w:val="0"/>
          <w:numId w:val="2"/>
        </w:numPr>
        <w:spacing w:after="70" w:line="290"/>
      </w:pPr>
      <w:r>
        <w:rPr>
          <w:b w:val="false"/>
          <w:bCs w:val="false"/>
          <w:sz w:val="21"/>
          <w:szCs w:val="21"/>
        </w:rPr>
        <w:t xml:space="preserve">Nhập danh sách thuốc; phát hiện và xếp mức tương tác kèm giải thích có nguồn.</w:t>
      </w:r>
    </w:p>
    <w:p>
      <w:pPr>
        <w:pStyle w:val="ListParagraph"/>
        <w:numPr>
          <w:ilvl w:val="0"/>
          <w:numId w:val="2"/>
        </w:numPr>
        <w:spacing w:after="70" w:line="290"/>
      </w:pPr>
      <w:r>
        <w:rPr>
          <w:b w:val="false"/>
          <w:bCs w:val="false"/>
          <w:sz w:val="21"/>
          <w:szCs w:val="21"/>
        </w:rPr>
        <w:t xml:space="preserve">Cảnh báo nghiêm trọng nổi bật và disclaimer không tự ý đổi thuốc.</w:t>
      </w:r>
    </w:p>
    <w:p>
      <w:pPr>
        <w:spacing w:after="80" w:before="160"/>
      </w:pPr>
      <w:r>
        <w:rPr>
          <w:b/>
          <w:bCs/>
          <w:color w:val="333333"/>
          <w:sz w:val="23"/>
          <w:szCs w:val="23"/>
        </w:rPr>
        <w:t xml:space="preserve">Nâng cao</w:t>
      </w:r>
    </w:p>
    <w:p>
      <w:pPr>
        <w:pStyle w:val="ListParagraph"/>
        <w:numPr>
          <w:ilvl w:val="0"/>
          <w:numId w:val="2"/>
        </w:numPr>
        <w:spacing w:after="70" w:line="290"/>
      </w:pPr>
      <w:r>
        <w:rPr>
          <w:b w:val="false"/>
          <w:bCs w:val="false"/>
          <w:sz w:val="21"/>
          <w:szCs w:val="21"/>
        </w:rPr>
        <w:t xml:space="preserve">Chuẩn hóa tên thuốc mờ / viết tắt / sai chính tả.</w:t>
      </w:r>
    </w:p>
    <w:p>
      <w:pPr>
        <w:pStyle w:val="ListParagraph"/>
        <w:numPr>
          <w:ilvl w:val="0"/>
          <w:numId w:val="2"/>
        </w:numPr>
        <w:spacing w:after="70" w:line="290"/>
      </w:pPr>
      <w:r>
        <w:rPr>
          <w:b w:val="false"/>
          <w:bCs w:val="false"/>
          <w:sz w:val="21"/>
          <w:szCs w:val="21"/>
        </w:rPr>
        <w:t xml:space="preserve">Tương tác thuốc–thực phẩm và thuốc–bệnh nền.</w:t>
      </w:r>
    </w:p>
    <w:p>
      <w:pPr>
        <w:pStyle w:val="ListParagraph"/>
        <w:numPr>
          <w:ilvl w:val="0"/>
          <w:numId w:val="2"/>
        </w:numPr>
        <w:spacing w:after="70" w:line="290"/>
      </w:pPr>
      <w:r>
        <w:rPr>
          <w:b w:val="false"/>
          <w:bCs w:val="false"/>
          <w:sz w:val="21"/>
          <w:szCs w:val="21"/>
        </w:rPr>
        <w:t xml:space="preserve">HITL cho dược sĩ xác nhận và ghi chú.</w:t>
      </w:r>
    </w:p>
    <w:p>
      <w:pPr>
        <w:pStyle w:val="ListParagraph"/>
        <w:numPr>
          <w:ilvl w:val="0"/>
          <w:numId w:val="2"/>
        </w:numPr>
        <w:spacing w:after="70" w:line="290"/>
      </w:pPr>
      <w:r>
        <w:rPr>
          <w:b w:val="false"/>
          <w:bCs w:val="false"/>
          <w:sz w:val="21"/>
          <w:szCs w:val="21"/>
        </w:rPr>
        <w:t xml:space="preserve">Bộ nhớ hồ sơ thuốc của bệnh nhân theo thời gian.</w:t>
      </w:r>
    </w:p>
    <w:p>
      <w:pPr>
        <w:pStyle w:val="ListParagraph"/>
        <w:numPr>
          <w:ilvl w:val="0"/>
          <w:numId w:val="2"/>
        </w:numPr>
        <w:spacing w:after="70" w:line="290"/>
      </w:pPr>
      <w:r>
        <w:rPr>
          <w:b w:val="false"/>
          <w:bCs w:val="false"/>
          <w:sz w:val="21"/>
          <w:szCs w:val="21"/>
        </w:rPr>
        <w:t xml:space="preserve">Quét đơn thuốc bằng ảnh (OCR).</w:t>
      </w:r>
    </w:p>
    <w:p>
      <w:pPr>
        <w:pStyle w:val="ListParagraph"/>
        <w:numPr>
          <w:ilvl w:val="0"/>
          <w:numId w:val="2"/>
        </w:numPr>
        <w:spacing w:after="70" w:line="290"/>
      </w:pPr>
      <w:r>
        <w:rPr>
          <w:b w:val="false"/>
          <w:bCs w:val="false"/>
          <w:sz w:val="21"/>
          <w:szCs w:val="21"/>
        </w:rPr>
        <w:t xml:space="preserve">Cảnh báo trùng hoạt chất giữa các sản phẩm.</w:t>
      </w:r>
    </w:p>
    <w:p>
      <w:pPr>
        <w:pStyle w:val="ListParagraph"/>
        <w:numPr>
          <w:ilvl w:val="0"/>
          <w:numId w:val="2"/>
        </w:numPr>
        <w:spacing w:after="70" w:line="290"/>
      </w:pPr>
      <w:r>
        <w:rPr>
          <w:b w:val="false"/>
          <w:bCs w:val="false"/>
          <w:sz w:val="21"/>
          <w:szCs w:val="21"/>
        </w:rPr>
        <w:t xml:space="preserve">Xử lý thuốc nằm ngoài CSDL — nêu rõ giới hạn thay vì suy đoán.</w:t>
      </w:r>
    </w:p>
    <w:p>
      <w:pPr>
        <w:spacing w:after="80" w:before="160"/>
      </w:pPr>
      <w:r>
        <w:rPr>
          <w:b/>
          <w:bCs/>
          <w:color w:val="333333"/>
          <w:sz w:val="23"/>
          <w:szCs w:val="23"/>
        </w:rPr>
        <w:t xml:space="preserve">Ngoài phạm vi</w:t>
      </w:r>
    </w:p>
    <w:p>
      <w:pPr>
        <w:pStyle w:val="ListParagraph"/>
        <w:numPr>
          <w:ilvl w:val="0"/>
          <w:numId w:val="2"/>
        </w:numPr>
        <w:spacing w:after="70" w:line="290"/>
      </w:pPr>
      <w:r>
        <w:rPr>
          <w:b w:val="false"/>
          <w:bCs w:val="false"/>
          <w:sz w:val="21"/>
          <w:szCs w:val="21"/>
        </w:rPr>
        <w:t xml:space="preserve">Chẩn đoán bệnh, kê đơn thuốc, tính liều cá nhân hóa, mua bán thuốc.</w:t>
      </w:r>
    </w:p>
    <w:p>
      <w:pPr>
        <w:pStyle w:val="Heading1"/>
        <w:pBdr>
          <w:bottom w:val="single" w:color="1F4E5F" w:sz="6" w:space="4"/>
        </w:pBdr>
        <w:spacing w:after="160" w:before="320"/>
      </w:pPr>
      <w:r>
        <w:rPr>
          <w:b/>
          <w:bCs/>
          <w:color w:val="1F4E5F"/>
          <w:sz w:val="30"/>
          <w:szCs w:val="30"/>
        </w:rPr>
        <w:t xml:space="preserve">5. Stack công nghệ đề xuất</w:t>
      </w:r>
    </w:p>
    <w:p>
      <w:pPr>
        <w:spacing w:after="120" w:line="300"/>
      </w:pPr>
      <w:r>
        <w:rPr>
          <w:b w:val="false"/>
          <w:bCs w:val="false"/>
          <w:i w:val="false"/>
          <w:iCs w:val="false"/>
          <w:sz w:val="21"/>
          <w:szCs w:val="21"/>
        </w:rPr>
        <w:t xml:space="preserve">LLM · điều phối bằng LangGraph · RAG trên CSDL thuốc và tương tác kết hợp vector DB · các tool chuyên biệt (drug-name normalizer, interaction lookup, severity ranker) · guardrails · backend FastAPI · frontend Next.js (đăng nhập theo vai trò bệnh nhân và dược sĩ/bác sĩ) · Postgres · triển khai trên cloud.</w:t>
      </w:r>
    </w:p>
    <w:p>
      <w:pPr>
        <w:pStyle w:val="Heading1"/>
        <w:pBdr>
          <w:bottom w:val="single" w:color="1F4E5F" w:sz="6" w:space="4"/>
        </w:pBdr>
        <w:spacing w:after="160" w:before="320"/>
      </w:pPr>
      <w:r>
        <w:rPr>
          <w:b/>
          <w:bCs/>
          <w:color w:val="1F4E5F"/>
          <w:sz w:val="30"/>
          <w:szCs w:val="30"/>
        </w:rPr>
        <w:t xml:space="preserve">6. Nguồn dữ liệu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4E5F" w:val="clear"/>
            <w:tcMar>
              <w:top w:type="dxa" w:w="80"/>
              <w:left w:type="dxa" w:w="100"/>
              <w:bottom w:type="dxa" w:w="80"/>
              <w:right w:type="dxa" w:w="100"/>
            </w:tcMar>
            <w:vAlign w:val="center"/>
          </w:tcPr>
          <w:p>
            <w:pPr>
              <w:spacing w:after="40"/>
            </w:pPr>
            <w:r>
              <w:rPr>
                <w:b/>
                <w:bCs/>
                <w:color w:val="FFFFFF"/>
                <w:sz w:val="20"/>
                <w:szCs w:val="20"/>
              </w:rPr>
              <w:t xml:space="preserve">Nguồn</w:t>
            </w:r>
          </w:p>
        </w:tc>
        <w:tc>
          <w:tcPr>
            <w:tcW w:type="dxa" w:w="7100"/>
            <w:shd w:fill="1F4E5F" w:val="clear"/>
            <w:tcMar>
              <w:top w:type="dxa" w:w="80"/>
              <w:left w:type="dxa" w:w="100"/>
              <w:bottom w:type="dxa" w:w="80"/>
              <w:right w:type="dxa" w:w="100"/>
            </w:tcMar>
            <w:vAlign w:val="center"/>
          </w:tcPr>
          <w:p>
            <w:pPr>
              <w:spacing w:after="40"/>
            </w:pPr>
            <w:r>
              <w:rPr>
                <w:b/>
                <w:bCs/>
                <w:color w:val="FFFFFF"/>
                <w:sz w:val="20"/>
                <w:szCs w:val="20"/>
              </w:rPr>
              <w:t xml:space="preserve">Vai trò</w:t>
            </w:r>
          </w:p>
        </w:tc>
      </w:tr>
      <w:tr>
        <w:tc>
          <w:tcPr>
            <w:tcW w:type="dxa" w:w="2400"/>
            <w:tcMar>
              <w:top w:type="dxa" w:w="80"/>
              <w:left w:type="dxa" w:w="100"/>
              <w:bottom w:type="dxa" w:w="80"/>
              <w:right w:type="dxa" w:w="100"/>
            </w:tcMar>
            <w:vAlign w:val="center"/>
          </w:tcPr>
          <w:p>
            <w:pPr>
              <w:spacing w:after="40"/>
            </w:pPr>
            <w:r>
              <w:rPr>
                <w:b w:val="false"/>
                <w:bCs w:val="false"/>
                <w:color w:val="222222"/>
                <w:sz w:val="20"/>
                <w:szCs w:val="20"/>
              </w:rPr>
              <w:t xml:space="preserve">DAV (dav.gov.vn)</w:t>
            </w:r>
          </w:p>
        </w:tc>
        <w:tc>
          <w:tcPr>
            <w:tcW w:type="dxa" w:w="7100"/>
            <w:tcMar>
              <w:top w:type="dxa" w:w="80"/>
              <w:left w:type="dxa" w:w="100"/>
              <w:bottom w:type="dxa" w:w="80"/>
              <w:right w:type="dxa" w:w="100"/>
            </w:tcMar>
            <w:vAlign w:val="center"/>
          </w:tcPr>
          <w:p>
            <w:pPr>
              <w:spacing w:after="40"/>
            </w:pPr>
            <w:r>
              <w:rPr>
                <w:b w:val="false"/>
                <w:bCs w:val="false"/>
                <w:color w:val="222222"/>
                <w:sz w:val="20"/>
                <w:szCs w:val="20"/>
              </w:rPr>
              <w:t xml:space="preserve">Tên thương mại, hoạt chất, số đăng ký thuốc tại Việt Nam.</w:t>
            </w:r>
          </w:p>
        </w:tc>
      </w:tr>
      <w:tr>
        <w:tc>
          <w:tcPr>
            <w:tcW w:type="dxa" w:w="24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HSA / data.gov.sg</w:t>
            </w:r>
          </w:p>
        </w:tc>
        <w:tc>
          <w:tcPr>
            <w:tcW w:type="dxa" w:w="71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Đối chiếu chéo, bổ sung thông tin sản phẩm.</w:t>
            </w:r>
          </w:p>
        </w:tc>
      </w:tr>
      <w:tr>
        <w:tc>
          <w:tcPr>
            <w:tcW w:type="dxa" w:w="2400"/>
            <w:tcMar>
              <w:top w:type="dxa" w:w="80"/>
              <w:left w:type="dxa" w:w="100"/>
              <w:bottom w:type="dxa" w:w="80"/>
              <w:right w:type="dxa" w:w="100"/>
            </w:tcMar>
            <w:vAlign w:val="center"/>
          </w:tcPr>
          <w:p>
            <w:pPr>
              <w:spacing w:after="40"/>
            </w:pPr>
            <w:r>
              <w:rPr>
                <w:b w:val="false"/>
                <w:bCs w:val="false"/>
                <w:color w:val="222222"/>
                <w:sz w:val="20"/>
                <w:szCs w:val="20"/>
              </w:rPr>
              <w:t xml:space="preserve">PubChem</w:t>
            </w:r>
          </w:p>
        </w:tc>
        <w:tc>
          <w:tcPr>
            <w:tcW w:type="dxa" w:w="7100"/>
            <w:tcMar>
              <w:top w:type="dxa" w:w="80"/>
              <w:left w:type="dxa" w:w="100"/>
              <w:bottom w:type="dxa" w:w="80"/>
              <w:right w:type="dxa" w:w="100"/>
            </w:tcMar>
            <w:vAlign w:val="center"/>
          </w:tcPr>
          <w:p>
            <w:pPr>
              <w:spacing w:after="40"/>
            </w:pPr>
            <w:r>
              <w:rPr>
                <w:b w:val="false"/>
                <w:bCs w:val="false"/>
                <w:color w:val="222222"/>
                <w:sz w:val="20"/>
                <w:szCs w:val="20"/>
              </w:rPr>
              <w:t xml:space="preserve">Từ đồng nghĩa, định danh hoạt chất.</w:t>
            </w:r>
          </w:p>
        </w:tc>
      </w:tr>
      <w:tr>
        <w:tc>
          <w:tcPr>
            <w:tcW w:type="dxa" w:w="24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ChEMBL</w:t>
            </w:r>
          </w:p>
        </w:tc>
        <w:tc>
          <w:tcPr>
            <w:tcW w:type="dxa" w:w="71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Đích tác dụng, enzyme chuyển hóa — phục vụ giải thích cơ chế.</w:t>
            </w:r>
          </w:p>
        </w:tc>
      </w:tr>
      <w:tr>
        <w:tc>
          <w:tcPr>
            <w:tcW w:type="dxa" w:w="2400"/>
            <w:tcMar>
              <w:top w:type="dxa" w:w="80"/>
              <w:left w:type="dxa" w:w="100"/>
              <w:bottom w:type="dxa" w:w="80"/>
              <w:right w:type="dxa" w:w="100"/>
            </w:tcMar>
            <w:vAlign w:val="center"/>
          </w:tcPr>
          <w:p>
            <w:pPr>
              <w:spacing w:after="40"/>
            </w:pPr>
            <w:r>
              <w:rPr>
                <w:b w:val="false"/>
                <w:bCs w:val="false"/>
                <w:color w:val="222222"/>
                <w:sz w:val="20"/>
                <w:szCs w:val="20"/>
              </w:rPr>
              <w:t xml:space="preserve">MIMIC-IV 3.0</w:t>
            </w:r>
          </w:p>
        </w:tc>
        <w:tc>
          <w:tcPr>
            <w:tcW w:type="dxa" w:w="7100"/>
            <w:tcMar>
              <w:top w:type="dxa" w:w="80"/>
              <w:left w:type="dxa" w:w="100"/>
              <w:bottom w:type="dxa" w:w="80"/>
              <w:right w:type="dxa" w:w="100"/>
            </w:tcMar>
            <w:vAlign w:val="center"/>
          </w:tcPr>
          <w:p>
            <w:pPr>
              <w:spacing w:after="40"/>
            </w:pPr>
            <w:r>
              <w:rPr>
                <w:b w:val="false"/>
                <w:bCs w:val="false"/>
                <w:color w:val="222222"/>
                <w:sz w:val="20"/>
                <w:szCs w:val="20"/>
              </w:rPr>
              <w:t xml:space="preserve">Bộ đơn thuốc thật đã ẩn danh, dùng để kiểm thử (cần được cấp quyền truy cập).</w:t>
            </w:r>
          </w:p>
        </w:tc>
      </w:tr>
      <w:tr>
        <w:tc>
          <w:tcPr>
            <w:tcW w:type="dxa" w:w="24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Cần bổ sung</w:t>
            </w:r>
          </w:p>
        </w:tc>
        <w:tc>
          <w:tcPr>
            <w:tcW w:type="dxa" w:w="71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Nguồn tương tác thuốc–thuốc có giấy phép rõ ràng (ví dụ DrugBank, hoặc CSDL mở như DDInter). Cần kiểm tra điều khoản sử dụng trước khi triển khai.</w:t>
            </w:r>
          </w:p>
        </w:tc>
      </w:tr>
    </w:tbl>
    <w:p>
      <w:pPr>
        <w:pBdr>
          <w:left w:val="single" w:color="C0392B" w:sz="18" w:space="4"/>
        </w:pBdr>
        <w:shd w:fill="FDEDEC" w:val="clear"/>
        <w:spacing w:after="160" w:before="100"/>
        <w:ind w:left="172"/>
      </w:pPr>
      <w:r>
        <w:rPr>
          <w:i/>
          <w:iCs/>
          <w:color w:val="922B21"/>
          <w:sz w:val="21"/>
          <w:szCs w:val="21"/>
        </w:rPr>
        <w:t xml:space="preserve">Điểm then chốt: các nguồn hiện có chủ yếu là danh mục thuốc và dữ liệu hóa sinh, chưa phải CSDL tương tác thuốc–thuốc. Đây là rủi ro số 1 cần được chốt sớm trong dự án.</w:t>
      </w:r>
    </w:p>
    <w:p>
      <w:pPr>
        <w:pStyle w:val="Heading1"/>
        <w:pBdr>
          <w:bottom w:val="single" w:color="1F4E5F" w:sz="6" w:space="4"/>
        </w:pBdr>
        <w:spacing w:after="160" w:before="320"/>
      </w:pPr>
      <w:r>
        <w:rPr>
          <w:b/>
          <w:bCs/>
          <w:color w:val="1F4E5F"/>
          <w:sz w:val="30"/>
          <w:szCs w:val="30"/>
        </w:rPr>
        <w:t xml:space="preserve">7. Tiêu chí thành công</w:t>
      </w:r>
    </w:p>
    <w:p>
      <w:pPr>
        <w:pStyle w:val="ListParagraph"/>
        <w:numPr>
          <w:ilvl w:val="0"/>
          <w:numId w:val="2"/>
        </w:numPr>
        <w:spacing w:after="70" w:line="290"/>
      </w:pPr>
      <w:r>
        <w:rPr>
          <w:b w:val="false"/>
          <w:bCs w:val="false"/>
          <w:sz w:val="21"/>
          <w:szCs w:val="21"/>
        </w:rPr>
        <w:t xml:space="preserve">0 câu trả lời khuyên ngừng/đổi/kê thuốc trong bộ test guardrail.</w:t>
      </w:r>
    </w:p>
    <w:p>
      <w:pPr>
        <w:pStyle w:val="ListParagraph"/>
        <w:numPr>
          <w:ilvl w:val="0"/>
          <w:numId w:val="2"/>
        </w:numPr>
        <w:spacing w:after="70" w:line="290"/>
      </w:pPr>
      <w:r>
        <w:rPr>
          <w:b w:val="false"/>
          <w:bCs w:val="false"/>
          <w:sz w:val="21"/>
          <w:szCs w:val="21"/>
        </w:rPr>
        <w:t xml:space="preserve">100% kết luận đưa ra có trích dẫn nguồn đi kèm.</w:t>
      </w:r>
    </w:p>
    <w:p>
      <w:pPr>
        <w:pStyle w:val="ListParagraph"/>
        <w:numPr>
          <w:ilvl w:val="0"/>
          <w:numId w:val="2"/>
        </w:numPr>
        <w:spacing w:after="70" w:line="290"/>
      </w:pPr>
      <w:r>
        <w:rPr>
          <w:b w:val="false"/>
          <w:bCs w:val="false"/>
          <w:sz w:val="21"/>
          <w:szCs w:val="21"/>
        </w:rPr>
        <w:t xml:space="preserve">Chuẩn hóa tên thuốc đúng ≥ 90% trên bộ tên thương mại / viết tắt / sai chính tả.</w:t>
      </w:r>
    </w:p>
    <w:p>
      <w:pPr>
        <w:pStyle w:val="ListParagraph"/>
        <w:numPr>
          <w:ilvl w:val="0"/>
          <w:numId w:val="2"/>
        </w:numPr>
        <w:spacing w:after="70" w:line="290"/>
      </w:pPr>
      <w:r>
        <w:rPr>
          <w:b w:val="false"/>
          <w:bCs w:val="false"/>
          <w:sz w:val="21"/>
          <w:szCs w:val="21"/>
        </w:rPr>
        <w:t xml:space="preserve">Phát hiện tương tác nghiêm trọng đã biết: recall ≥ 95% trên bộ đối chiếu chuẩn.</w:t>
      </w:r>
    </w:p>
    <w:p>
      <w:pPr>
        <w:pStyle w:val="ListParagraph"/>
        <w:numPr>
          <w:ilvl w:val="0"/>
          <w:numId w:val="2"/>
        </w:numPr>
        <w:spacing w:after="70" w:line="290"/>
      </w:pPr>
      <w:r>
        <w:rPr>
          <w:b w:val="false"/>
          <w:bCs w:val="false"/>
          <w:sz w:val="21"/>
          <w:szCs w:val="21"/>
        </w:rPr>
        <w:t xml:space="preserve">Dược sĩ hoàn thành xem xét một ca trong ≤ 3 phút.</w:t>
      </w:r>
    </w:p>
    <w:p>
      <w:pPr>
        <w:pStyle w:val="Heading1"/>
        <w:pBdr>
          <w:bottom w:val="single" w:color="1F4E5F" w:sz="6" w:space="4"/>
        </w:pBdr>
        <w:spacing w:after="160" w:before="320"/>
      </w:pPr>
      <w:r>
        <w:rPr>
          <w:b/>
          <w:bCs/>
          <w:color w:val="1F4E5F"/>
          <w:sz w:val="30"/>
          <w:szCs w:val="30"/>
        </w:rPr>
        <w:t xml:space="preserve">8. Rủi ro chính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4E5F" w:val="clear"/>
            <w:tcMar>
              <w:top w:type="dxa" w:w="80"/>
              <w:left w:type="dxa" w:w="100"/>
              <w:bottom w:type="dxa" w:w="80"/>
              <w:right w:type="dxa" w:w="100"/>
            </w:tcMar>
            <w:vAlign w:val="center"/>
          </w:tcPr>
          <w:p>
            <w:pPr>
              <w:spacing w:after="40"/>
            </w:pPr>
            <w:r>
              <w:rPr>
                <w:b/>
                <w:bCs/>
                <w:color w:val="FFFFFF"/>
                <w:sz w:val="20"/>
                <w:szCs w:val="20"/>
              </w:rPr>
              <w:t xml:space="preserve">Rủi ro</w:t>
            </w:r>
          </w:p>
        </w:tc>
        <w:tc>
          <w:tcPr>
            <w:tcW w:type="dxa" w:w="5900"/>
            <w:shd w:fill="1F4E5F" w:val="clear"/>
            <w:tcMar>
              <w:top w:type="dxa" w:w="80"/>
              <w:left w:type="dxa" w:w="100"/>
              <w:bottom w:type="dxa" w:w="80"/>
              <w:right w:type="dxa" w:w="100"/>
            </w:tcMar>
            <w:vAlign w:val="center"/>
          </w:tcPr>
          <w:p>
            <w:pPr>
              <w:spacing w:after="40"/>
            </w:pPr>
            <w:r>
              <w:rPr>
                <w:b/>
                <w:bCs/>
                <w:color w:val="FFFFFF"/>
                <w:sz w:val="20"/>
                <w:szCs w:val="20"/>
              </w:rPr>
              <w:t xml:space="preserve">Giảm thiểu</w:t>
            </w:r>
          </w:p>
        </w:tc>
      </w:tr>
      <w:tr>
        <w:tc>
          <w:tcPr>
            <w:tcW w:type="dxa" w:w="3600"/>
            <w:tcMar>
              <w:top w:type="dxa" w:w="80"/>
              <w:left w:type="dxa" w:w="100"/>
              <w:bottom w:type="dxa" w:w="80"/>
              <w:right w:type="dxa" w:w="100"/>
            </w:tcMar>
            <w:vAlign w:val="center"/>
          </w:tcPr>
          <w:p>
            <w:pPr>
              <w:spacing w:after="40"/>
            </w:pPr>
            <w:r>
              <w:rPr>
                <w:b w:val="false"/>
                <w:bCs w:val="false"/>
                <w:color w:val="222222"/>
                <w:sz w:val="20"/>
                <w:szCs w:val="20"/>
              </w:rPr>
              <w:t xml:space="preserve">Thiếu CSDL tương tác có giấy phép</w:t>
            </w:r>
          </w:p>
        </w:tc>
        <w:tc>
          <w:tcPr>
            <w:tcW w:type="dxa" w:w="5900"/>
            <w:tcMar>
              <w:top w:type="dxa" w:w="80"/>
              <w:left w:type="dxa" w:w="100"/>
              <w:bottom w:type="dxa" w:w="80"/>
              <w:right w:type="dxa" w:w="100"/>
            </w:tcMar>
            <w:vAlign w:val="center"/>
          </w:tcPr>
          <w:p>
            <w:pPr>
              <w:spacing w:after="40"/>
            </w:pPr>
            <w:r>
              <w:rPr>
                <w:b w:val="false"/>
                <w:bCs w:val="false"/>
                <w:color w:val="222222"/>
                <w:sz w:val="20"/>
                <w:szCs w:val="20"/>
              </w:rPr>
              <w:t xml:space="preserve">Chốt nguồn dữ liệu ngay tuần 1; dùng dữ liệu mô phỏng cho bản demo trong lúc chờ.</w:t>
            </w:r>
          </w:p>
        </w:tc>
      </w:tr>
      <w:tr>
        <w:tc>
          <w:tcPr>
            <w:tcW w:type="dxa" w:w="36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LLM bịa tương tác / liều dùng</w:t>
            </w:r>
          </w:p>
        </w:tc>
        <w:tc>
          <w:tcPr>
            <w:tcW w:type="dxa" w:w="59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Chỉ trả lời dựa trên dữ liệu đã truy xuất; bắt buộc kiểm tra citation trước khi trả kết quả.</w:t>
            </w:r>
          </w:p>
        </w:tc>
      </w:tr>
      <w:tr>
        <w:tc>
          <w:tcPr>
            <w:tcW w:type="dxa" w:w="3600"/>
            <w:tcMar>
              <w:top w:type="dxa" w:w="80"/>
              <w:left w:type="dxa" w:w="100"/>
              <w:bottom w:type="dxa" w:w="80"/>
              <w:right w:type="dxa" w:w="100"/>
            </w:tcMar>
            <w:vAlign w:val="center"/>
          </w:tcPr>
          <w:p>
            <w:pPr>
              <w:spacing w:after="40"/>
            </w:pPr>
            <w:r>
              <w:rPr>
                <w:b w:val="false"/>
                <w:bCs w:val="false"/>
                <w:color w:val="222222"/>
                <w:sz w:val="20"/>
                <w:szCs w:val="20"/>
              </w:rPr>
              <w:t xml:space="preserve">Người dùng hiểu "không cảnh báo" là "an toàn"</w:t>
            </w:r>
          </w:p>
        </w:tc>
        <w:tc>
          <w:tcPr>
            <w:tcW w:type="dxa" w:w="5900"/>
            <w:tcMar>
              <w:top w:type="dxa" w:w="80"/>
              <w:left w:type="dxa" w:w="100"/>
              <w:bottom w:type="dxa" w:w="80"/>
              <w:right w:type="dxa" w:w="100"/>
            </w:tcMar>
            <w:vAlign w:val="center"/>
          </w:tcPr>
          <w:p>
            <w:pPr>
              <w:spacing w:after="40"/>
            </w:pPr>
            <w:r>
              <w:rPr>
                <w:b w:val="false"/>
                <w:bCs w:val="false"/>
                <w:color w:val="222222"/>
                <w:sz w:val="20"/>
                <w:szCs w:val="20"/>
              </w:rPr>
              <w:t xml:space="preserve">Luôn hiển thị thông điệp giới hạn dữ liệu ở mọi kết quả.</w:t>
            </w:r>
          </w:p>
        </w:tc>
      </w:tr>
      <w:tr>
        <w:tc>
          <w:tcPr>
            <w:tcW w:type="dxa" w:w="36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Lộ PII/PHI</w:t>
            </w:r>
          </w:p>
        </w:tc>
        <w:tc>
          <w:tcPr>
            <w:tcW w:type="dxa" w:w="5900"/>
            <w:shd w:fill="F2F6F7" w:val="clear"/>
            <w:tcMar>
              <w:top w:type="dxa" w:w="80"/>
              <w:left w:type="dxa" w:w="100"/>
              <w:bottom w:type="dxa" w:w="80"/>
              <w:right w:type="dxa" w:w="100"/>
            </w:tcMar>
            <w:vAlign w:val="center"/>
          </w:tcPr>
          <w:p>
            <w:pPr>
              <w:spacing w:after="40"/>
            </w:pPr>
            <w:r>
              <w:rPr>
                <w:b w:val="false"/>
                <w:bCs w:val="false"/>
                <w:color w:val="222222"/>
                <w:sz w:val="20"/>
                <w:szCs w:val="20"/>
              </w:rPr>
              <w:t xml:space="preserve">Ẩn thông tin mặc định, mã hóa dữ liệu, không đưa PII vào prompt khi không cần thiết.</w:t>
            </w:r>
          </w:p>
        </w:tc>
      </w:tr>
      <w:tr>
        <w:tc>
          <w:tcPr>
            <w:tcW w:type="dxa" w:w="3600"/>
            <w:tcMar>
              <w:top w:type="dxa" w:w="80"/>
              <w:left w:type="dxa" w:w="100"/>
              <w:bottom w:type="dxa" w:w="80"/>
              <w:right w:type="dxa" w:w="100"/>
            </w:tcMar>
            <w:vAlign w:val="center"/>
          </w:tcPr>
          <w:p>
            <w:pPr>
              <w:spacing w:after="40"/>
            </w:pPr>
            <w:r>
              <w:rPr>
                <w:b w:val="false"/>
                <w:bCs w:val="false"/>
                <w:color w:val="222222"/>
                <w:sz w:val="20"/>
                <w:szCs w:val="20"/>
              </w:rPr>
              <w:t xml:space="preserve">Tên thuốc tiếng Việt không khớp CSDL</w:t>
            </w:r>
          </w:p>
        </w:tc>
        <w:tc>
          <w:tcPr>
            <w:tcW w:type="dxa" w:w="5900"/>
            <w:tcMar>
              <w:top w:type="dxa" w:w="80"/>
              <w:left w:type="dxa" w:w="100"/>
              <w:bottom w:type="dxa" w:w="80"/>
              <w:right w:type="dxa" w:w="100"/>
            </w:tcMar>
            <w:vAlign w:val="center"/>
          </w:tcPr>
          <w:p>
            <w:pPr>
              <w:spacing w:after="40"/>
            </w:pPr>
            <w:r>
              <w:rPr>
                <w:b w:val="false"/>
                <w:bCs w:val="false"/>
                <w:color w:val="222222"/>
                <w:sz w:val="20"/>
                <w:szCs w:val="20"/>
              </w:rPr>
              <w:t xml:space="preserve">Xây bảng alias theo DAV, áp dụng fuzzy match, hỏi lại người dùng khi không chắc.</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2026-09-26T03:07:45.092Z</dcterms:created>
  <dcterms:modified xsi:type="dcterms:W3CDTF">2026-09-26T03:07:45.102Z</dcterms:modified>
</cp:coreProperties>
</file>

<file path=docProps/custom.xml><?xml version="1.0" encoding="utf-8"?>
<Properties xmlns="http://schemas.openxmlformats.org/officeDocument/2006/custom-properties" xmlns:vt="http://schemas.openxmlformats.org/officeDocument/2006/docPropsVTypes"/>
</file>