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color w:val="00539F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/>
    <w:p/>
    <w:p>
      <w:pPr>
        <w:spacing w:after="480"/>
        <w:jc w:val="center"/>
      </w:pPr>
      <w:r>
        <w:rPr>
          <w:rFonts w:ascii="Calibri" w:hAnsi="Calibri"/>
          <w:b/>
          <w:color w:val="00539F"/>
          <w:sz w:val="64"/>
        </w:rPr>
        <w:t>GUÍA DE CLASIFICACIÓN</w:t>
        <w:br/>
        <w:t>DE DOCUMENTOS</w:t>
      </w:r>
    </w:p>
    <w:p>
      <w:pPr>
        <w:spacing w:after="120"/>
        <w:jc w:val="center"/>
      </w:pPr>
      <w:r>
        <w:rPr>
          <w:rFonts w:ascii="Calibri" w:hAnsi="Calibri"/>
          <w:color w:val="0078D4"/>
          <w:sz w:val="32"/>
        </w:rPr>
        <w:t>DocumentIA — Sistema de Clasificación Inteligente de Documentos</w:t>
      </w:r>
    </w:p>
    <w:p>
      <w:pPr>
        <w:jc w:val="center"/>
      </w:pPr>
      <w:r>
        <w:rPr>
          <w:rFonts w:ascii="Calibri" w:hAnsi="Calibri"/>
          <w:i/>
          <w:color w:val="202020"/>
          <w:sz w:val="26"/>
        </w:rPr>
        <w:t>AI DocClassExt — SAREB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539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202020"/>
                <w:sz w:val="20"/>
              </w:rPr>
              <w:t>1.0</w:t>
            </w:r>
          </w:p>
        </w:tc>
      </w:tr>
      <w:tr>
        <w:tc>
          <w:tcPr>
            <w:tcW w:type="dxa" w:w="4536"/>
            <w:shd w:val="clear" w:color="auto" w:fill="00539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202020"/>
                <w:sz w:val="20"/>
              </w:rPr>
              <w:t>Mayo 2026</w:t>
            </w:r>
          </w:p>
        </w:tc>
      </w:tr>
      <w:tr>
        <w:tc>
          <w:tcPr>
            <w:tcW w:type="dxa" w:w="4536"/>
            <w:shd w:val="clear" w:color="auto" w:fill="00539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202020"/>
                <w:sz w:val="20"/>
              </w:rPr>
              <w:t>Aprobado</w:t>
            </w:r>
          </w:p>
        </w:tc>
      </w:tr>
      <w:tr>
        <w:tc>
          <w:tcPr>
            <w:tcW w:type="dxa" w:w="4536"/>
            <w:shd w:val="clear" w:color="auto" w:fill="00539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202020"/>
                <w:sz w:val="20"/>
              </w:rPr>
              <w:t>Usuarios técnicos y de negocio, integradores</w:t>
            </w:r>
          </w:p>
        </w:tc>
      </w:tr>
      <w:tr>
        <w:tc>
          <w:tcPr>
            <w:tcW w:type="dxa" w:w="4536"/>
            <w:shd w:val="clear" w:color="auto" w:fill="00539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color w:val="202020"/>
                <w:sz w:val="20"/>
              </w:rPr>
              <w:t>Uso interno</w:t>
            </w:r>
          </w:p>
        </w:tc>
      </w:tr>
    </w:tbl>
    <w:p/>
    <w:p>
      <w:pPr>
        <w:spacing w:before="0"/>
      </w:pPr>
      <w:r>
        <w:rPr>
          <w:color w:val="00539F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0" w:after="0"/>
      </w:pPr>
      <w:r>
        <w:rPr>
          <w:rFonts w:ascii="Calibri" w:hAnsi="Calibri"/>
          <w:b/>
          <w:color w:val="00539F"/>
          <w:sz w:val="32"/>
        </w:rPr>
        <w:t>TABLA DE CONTENIDOS</w:t>
      </w:r>
    </w:p>
    <w:p>
      <w:pPr>
        <w:spacing w:after="120"/>
      </w:pPr>
      <w:r>
        <w:rPr>
          <w:i/>
          <w:color w:val="777777"/>
          <w:sz w:val="18"/>
        </w:rPr>
        <w:t>Para actualizar la tabla de contenidos, haga clic con el botón derecho sobre ella y seleccione 'Actualizar campos' → 'Actualizar toda la tabla'.</w:t>
      </w:r>
    </w:p>
    <w:p>
      <w:pPr>
        <w:spacing w:after="0"/>
      </w:pPr>
      <w:r>
        <w:fldSimple w:instr=" TOC \o &quot;1-3&quot; \h \z \u "/>
      </w:r>
    </w:p>
    <w:p>
      <w:r>
        <w:br w:type="page"/>
      </w:r>
    </w:p>
    <w:p>
      <w:pPr>
        <w:pStyle w:val="Heading2"/>
      </w:pPr>
      <w:r>
        <w:rPr>
          <w:rFonts w:ascii="Calibri" w:hAnsi="Calibri"/>
          <w:b w:val="0"/>
          <w:i w:val="0"/>
          <w:color w:val="00539F"/>
          <w:sz w:val="30"/>
        </w:rPr>
        <w:t>1. Resumen Ejecutivo (Visión de Negocio)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¿Qué hace DocumentIA?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DocumentIA es un sistema inteligente que </w:t>
      </w:r>
      <w:r>
        <w:rPr>
          <w:rFonts w:ascii="Calibri" w:hAnsi="Calibri"/>
          <w:b/>
          <w:i w:val="0"/>
          <w:color w:val="202020"/>
          <w:sz w:val="21"/>
        </w:rPr>
        <w:t>lee, identifica y clasifica documentos inmobiliarios automáticamente</w:t>
      </w:r>
      <w:r>
        <w:rPr>
          <w:rFonts w:ascii="Calibri" w:hAnsi="Calibri"/>
          <w:b w:val="0"/>
          <w:i w:val="0"/>
          <w:color w:val="202020"/>
          <w:sz w:val="21"/>
        </w:rPr>
        <w:t>. Cuando le envías un documento (PDF, imagen), el sistema determina qué tipo de documento es —sin que tengas que decírselo— y extrae los datos más relevantes de su contenido.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¿Por qué es útil?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Sin DocumentIA</w:t>
            </w:r>
          </w:p>
        </w:tc>
        <w:tc>
          <w:tcPr>
            <w:tcW w:type="dxa" w:w="453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 DocumentIA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Un operario lee cada documento y anota manualmente el tipo</w:t>
            </w:r>
          </w:p>
        </w:tc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El sistema detecta el tipo en segundos</w:t>
            </w:r>
          </w:p>
        </w:tc>
      </w:tr>
      <w:tr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Entrada de datos manual propensa a errores</w:t>
            </w:r>
          </w:p>
        </w:tc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Extracción automática con validación de negocio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Tiempo de proceso: minutos por documento</w:t>
            </w:r>
          </w:p>
        </w:tc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Tiempo de proceso: 5–30 segundos por documento</w:t>
            </w:r>
          </w:p>
        </w:tc>
      </w:tr>
      <w:tr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Sin trazabilidad ni auditoría automática</w:t>
            </w:r>
          </w:p>
        </w:tc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Registro completo de cada decisión y su nivel de confianza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¿Cómo funciona a grandes rasgos?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Tú envías un PDF  →  DocumentIA lo "lee"  →  Identifica el tipo de documento</w:t>
      </w:r>
      <w:r>
        <w:br/>
      </w:r>
      <w:r>
        <w:rPr>
          <w:rFonts w:ascii="Courier New" w:hAnsi="Courier New"/>
          <w:color w:val="1E1E1E"/>
          <w:sz w:val="17"/>
        </w:rPr>
        <w:t xml:space="preserve">     →  Extrae los datos  →  Valida los datos  →  Te devuelve el resultado estructurado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¿Qué tipos de documentos reconoce?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de Documento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Nombre Técnico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Nota Simple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nota-simple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Documento oficial del Registro de la Propiedad que certifica la situación jurídica de una finca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Tasación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tasacion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Informe técnico que certifica el valor de mercado de un inmueble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Resumen Documental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resumen-documental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Cualquier documento para el que se quiere un resumen automático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IBI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IBI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Recibo del Impuesto sobre Bienes Inmuebles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TDN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tdn.clasificacion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Clasificación jerárquica de documentos jurídicos e inmobiliarios (notariales, escrituras, sentencias)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¿Qué resultado me devuelve?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>Tras el procesamiento, recibirás: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Tipo de documento</w:t>
      </w:r>
      <w:r>
        <w:rPr>
          <w:rFonts w:ascii="Calibri" w:hAnsi="Calibri"/>
          <w:b w:val="0"/>
          <w:i w:val="0"/>
          <w:color w:val="202020"/>
          <w:sz w:val="21"/>
        </w:rPr>
        <w:t xml:space="preserve"> identificado y con qué nivel de certeza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Datos extraídos</w:t>
      </w:r>
      <w:r>
        <w:rPr>
          <w:rFonts w:ascii="Calibri" w:hAnsi="Calibri"/>
          <w:b w:val="0"/>
          <w:i w:val="0"/>
          <w:color w:val="202020"/>
          <w:sz w:val="21"/>
        </w:rPr>
        <w:t xml:space="preserve"> del documento (campos estructurados)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Estado de calidad</w:t>
      </w:r>
      <w:r>
        <w:rPr>
          <w:rFonts w:ascii="Calibri" w:hAnsi="Calibri"/>
          <w:b w:val="0"/>
          <w:i w:val="0"/>
          <w:color w:val="202020"/>
          <w:sz w:val="21"/>
        </w:rPr>
        <w:t xml:space="preserve">: </w:t>
      </w:r>
      <w:r>
        <w:rPr>
          <w:rFonts w:ascii="Courier New" w:hAnsi="Courier New"/>
          <w:b w:val="0"/>
          <w:i w:val="0"/>
          <w:color w:val="6A002F"/>
          <w:sz w:val="18"/>
        </w:rPr>
        <w:t>OK</w:t>
      </w:r>
      <w:r>
        <w:rPr>
          <w:rFonts w:ascii="Calibri" w:hAnsi="Calibri"/>
          <w:b w:val="0"/>
          <w:i w:val="0"/>
          <w:color w:val="202020"/>
          <w:sz w:val="21"/>
        </w:rPr>
        <w:t xml:space="preserve">, </w:t>
      </w:r>
      <w:r>
        <w:rPr>
          <w:rFonts w:ascii="Courier New" w:hAnsi="Courier New"/>
          <w:b w:val="0"/>
          <w:i w:val="0"/>
          <w:color w:val="6A002F"/>
          <w:sz w:val="18"/>
        </w:rPr>
        <w:t>REVISION</w:t>
      </w:r>
      <w:r>
        <w:rPr>
          <w:rFonts w:ascii="Calibri" w:hAnsi="Calibri"/>
          <w:b w:val="0"/>
          <w:i w:val="0"/>
          <w:color w:val="202020"/>
          <w:sz w:val="21"/>
        </w:rPr>
        <w:t xml:space="preserve"> o </w:t>
      </w:r>
      <w:r>
        <w:rPr>
          <w:rFonts w:ascii="Courier New" w:hAnsi="Courier New"/>
          <w:b w:val="0"/>
          <w:i w:val="0"/>
          <w:color w:val="6A002F"/>
          <w:sz w:val="18"/>
        </w:rPr>
        <w:t>ERROR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Puntuación de confianza</w:t>
      </w:r>
      <w:r>
        <w:rPr>
          <w:rFonts w:ascii="Calibri" w:hAnsi="Calibri"/>
          <w:b w:val="0"/>
          <w:i w:val="0"/>
          <w:color w:val="202020"/>
          <w:sz w:val="21"/>
        </w:rPr>
        <w:t xml:space="preserve"> (0–1) descompuesta por etapa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202020"/>
          <w:sz w:val="21"/>
        </w:rPr>
        <w:t xml:space="preserve">Un </w:t>
      </w:r>
      <w:r>
        <w:rPr>
          <w:rFonts w:ascii="Calibri" w:hAnsi="Calibri"/>
          <w:b/>
          <w:i w:val="0"/>
          <w:color w:val="202020"/>
          <w:sz w:val="21"/>
        </w:rPr>
        <w:t>resumen ejecutivo</w:t>
      </w:r>
      <w:r>
        <w:rPr>
          <w:rFonts w:ascii="Calibri" w:hAnsi="Calibri"/>
          <w:b w:val="0"/>
          <w:i w:val="0"/>
          <w:color w:val="202020"/>
          <w:sz w:val="21"/>
        </w:rPr>
        <w:t xml:space="preserve"> del documento (cuando está configurado)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Nivel de confianza para usuarios de negocio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significa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Acción recomendada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[VERDE] </w:t>
            </w: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OK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 (≥ 0.85)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El sistema tiene alta certeza sobre el documento y sus datos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Procesamiento automático sin revisión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[AMARILLO] </w:t>
            </w: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REVISION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 (0.70–0.85)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El sistema tiene dudas; los datos pueden ser correctos pero conviene revisar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Revisión humana recomendada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[ROJO] </w:t>
            </w: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ERROR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 (&lt; 0.70)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Alta probabilidad de que algo no sea correcto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Revisión humana obligatoria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[BLANCO] </w:t>
            </w: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NO_CLASIFICADO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El sistema no pudo identificar el tipo de documento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Intervención manual necesaria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 w:val="0"/>
          <w:i w:val="0"/>
          <w:color w:val="00539F"/>
          <w:sz w:val="30"/>
        </w:rPr>
        <w:t>2. Conceptos Fundamentales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2.1 Tipología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Una </w:t>
      </w:r>
      <w:r>
        <w:rPr>
          <w:rFonts w:ascii="Calibri" w:hAnsi="Calibri"/>
          <w:b/>
          <w:i w:val="0"/>
          <w:color w:val="202020"/>
          <w:sz w:val="21"/>
        </w:rPr>
        <w:t>tipología</w:t>
      </w:r>
      <w:r>
        <w:rPr>
          <w:rFonts w:ascii="Calibri" w:hAnsi="Calibri"/>
          <w:b w:val="0"/>
          <w:i w:val="0"/>
          <w:color w:val="202020"/>
          <w:sz w:val="21"/>
        </w:rPr>
        <w:t xml:space="preserve"> representa un tipo de documento con su configuración asociada: campos a extraer, reglas de validación, proveedores de IA, y umbrales de confianza.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Una misma tipología puede tener múltiples </w:t>
      </w:r>
      <w:r>
        <w:rPr>
          <w:rFonts w:ascii="Calibri" w:hAnsi="Calibri"/>
          <w:b/>
          <w:i w:val="0"/>
          <w:color w:val="202020"/>
          <w:sz w:val="21"/>
        </w:rPr>
        <w:t>versiones</w:t>
      </w:r>
      <w:r>
        <w:rPr>
          <w:rFonts w:ascii="Calibri" w:hAnsi="Calibri"/>
          <w:b w:val="0"/>
          <w:i w:val="0"/>
          <w:color w:val="202020"/>
          <w:sz w:val="21"/>
        </w:rPr>
        <w:t xml:space="preserve"> (ej: </w:t>
      </w:r>
      <w:r>
        <w:rPr>
          <w:rFonts w:ascii="Courier New" w:hAnsi="Courier New"/>
          <w:b w:val="0"/>
          <w:i w:val="0"/>
          <w:color w:val="6A002F"/>
          <w:sz w:val="18"/>
        </w:rPr>
        <w:t>nota-simple v1.0</w:t>
      </w:r>
      <w:r>
        <w:rPr>
          <w:rFonts w:ascii="Calibri" w:hAnsi="Calibri"/>
          <w:b w:val="0"/>
          <w:i w:val="0"/>
          <w:color w:val="202020"/>
          <w:sz w:val="21"/>
        </w:rPr>
        <w:t xml:space="preserve">, </w:t>
      </w:r>
      <w:r>
        <w:rPr>
          <w:rFonts w:ascii="Courier New" w:hAnsi="Courier New"/>
          <w:b w:val="0"/>
          <w:i w:val="0"/>
          <w:color w:val="6A002F"/>
          <w:sz w:val="18"/>
        </w:rPr>
        <w:t>v1.3</w:t>
      </w:r>
      <w:r>
        <w:rPr>
          <w:rFonts w:ascii="Calibri" w:hAnsi="Calibri"/>
          <w:b w:val="0"/>
          <w:i w:val="0"/>
          <w:color w:val="202020"/>
          <w:sz w:val="21"/>
        </w:rPr>
        <w:t xml:space="preserve">, </w:t>
      </w:r>
      <w:r>
        <w:rPr>
          <w:rFonts w:ascii="Courier New" w:hAnsi="Courier New"/>
          <w:b w:val="0"/>
          <w:i w:val="0"/>
          <w:color w:val="6A002F"/>
          <w:sz w:val="18"/>
        </w:rPr>
        <w:t>v1.4</w:t>
      </w:r>
      <w:r>
        <w:rPr>
          <w:rFonts w:ascii="Calibri" w:hAnsi="Calibri"/>
          <w:b w:val="0"/>
          <w:i w:val="0"/>
          <w:color w:val="202020"/>
          <w:sz w:val="21"/>
        </w:rPr>
        <w:t xml:space="preserve">). Siempre hay una versión marcada como </w:t>
      </w:r>
      <w:r>
        <w:rPr>
          <w:rFonts w:ascii="Courier New" w:hAnsi="Courier New"/>
          <w:b w:val="0"/>
          <w:i w:val="0"/>
          <w:color w:val="6A002F"/>
          <w:sz w:val="18"/>
        </w:rPr>
        <w:t>isDefault: true</w:t>
      </w:r>
      <w:r>
        <w:rPr>
          <w:rFonts w:ascii="Calibri" w:hAnsi="Calibri"/>
          <w:b w:val="0"/>
          <w:i w:val="0"/>
          <w:color w:val="202020"/>
          <w:sz w:val="21"/>
        </w:rPr>
        <w:t xml:space="preserve"> que es la que se usa por defecto.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Familia: "nota-simple"</w:t>
      </w:r>
      <w:r>
        <w:br/>
      </w:r>
      <w:r>
        <w:rPr>
          <w:rFonts w:ascii="Courier New" w:hAnsi="Courier New"/>
          <w:color w:val="1E1E1E"/>
          <w:sz w:val="17"/>
        </w:rPr>
        <w:t xml:space="preserve">    ├── versión 1.0  (legacy)</w:t>
      </w:r>
      <w:r>
        <w:br/>
      </w:r>
      <w:r>
        <w:rPr>
          <w:rFonts w:ascii="Courier New" w:hAnsi="Courier New"/>
          <w:color w:val="1E1E1E"/>
          <w:sz w:val="17"/>
        </w:rPr>
        <w:t xml:space="preserve">    ├── versión 1.2  (legacy)</w:t>
      </w:r>
      <w:r>
        <w:br/>
      </w:r>
      <w:r>
        <w:rPr>
          <w:rFonts w:ascii="Courier New" w:hAnsi="Courier New"/>
          <w:color w:val="1E1E1E"/>
          <w:sz w:val="17"/>
        </w:rPr>
        <w:t xml:space="preserve">    ├── versión 1.3  (legacy)</w:t>
      </w:r>
      <w:r>
        <w:br/>
      </w:r>
      <w:r>
        <w:rPr>
          <w:rFonts w:ascii="Courier New" w:hAnsi="Courier New"/>
          <w:color w:val="1E1E1E"/>
          <w:sz w:val="17"/>
        </w:rPr>
        <w:t xml:space="preserve">    └── versión 1.4  ← DEFAULT (activa)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2.2 ExpectedType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Parámetro opcional de la petición. Si lo informas, el sistema </w:t>
      </w:r>
      <w:r>
        <w:rPr>
          <w:rFonts w:ascii="Calibri" w:hAnsi="Calibri"/>
          <w:b/>
          <w:i w:val="0"/>
          <w:color w:val="202020"/>
          <w:sz w:val="21"/>
        </w:rPr>
        <w:t>omite la clasificación automática</w:t>
      </w:r>
      <w:r>
        <w:rPr>
          <w:rFonts w:ascii="Calibri" w:hAnsi="Calibri"/>
          <w:b w:val="0"/>
          <w:i w:val="0"/>
          <w:color w:val="202020"/>
          <w:sz w:val="21"/>
        </w:rPr>
        <w:t xml:space="preserve"> y usa ese tipo directamente (confianza = 1.0). Útil cuando el sistema origen ya sabe qué tipo de documento es.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"instrucciones": {</w:t>
      </w:r>
      <w:r>
        <w:br/>
      </w:r>
      <w:r>
        <w:rPr>
          <w:rFonts w:ascii="Courier New" w:hAnsi="Courier New"/>
          <w:color w:val="1E1E1E"/>
          <w:sz w:val="17"/>
        </w:rPr>
        <w:t xml:space="preserve">  "expectedType": "nota-simple"   // Fuerza la tipología sin clasificación IA</w:t>
      </w:r>
      <w:r>
        <w:br/>
      </w:r>
      <w:r>
        <w:rPr>
          <w:rFonts w:ascii="Courier New" w:hAnsi="Courier New"/>
          <w:color w:val="1E1E1E"/>
          <w:sz w:val="17"/>
        </w:rPr>
        <w:t>}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2.3 Confianza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>Puntuación numérica de 0 a 1 que indica cuánta certeza tiene el sistema en cada etapa: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Confianza de clasificación</w:t>
      </w:r>
      <w:r>
        <w:rPr>
          <w:rFonts w:ascii="Calibri" w:hAnsi="Calibri"/>
          <w:b w:val="0"/>
          <w:i w:val="0"/>
          <w:color w:val="202020"/>
          <w:sz w:val="21"/>
        </w:rPr>
        <w:t>: ¿qué seguro estoy de que este es el tipo de documento correcto?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Confianza de extracción</w:t>
      </w:r>
      <w:r>
        <w:rPr>
          <w:rFonts w:ascii="Calibri" w:hAnsi="Calibri"/>
          <w:b w:val="0"/>
          <w:i w:val="0"/>
          <w:color w:val="202020"/>
          <w:sz w:val="21"/>
        </w:rPr>
        <w:t>: ¿qué completos y fiables son los datos que he extraído?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Confianza de validación</w:t>
      </w:r>
      <w:r>
        <w:rPr>
          <w:rFonts w:ascii="Calibri" w:hAnsi="Calibri"/>
          <w:b w:val="0"/>
          <w:i w:val="0"/>
          <w:color w:val="202020"/>
          <w:sz w:val="21"/>
        </w:rPr>
        <w:t>: ¿cuántas reglas de negocio ha superado el documento?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Confianza global</w:t>
      </w:r>
      <w:r>
        <w:rPr>
          <w:rFonts w:ascii="Calibri" w:hAnsi="Calibri"/>
          <w:b w:val="0"/>
          <w:i w:val="0"/>
          <w:color w:val="202020"/>
          <w:sz w:val="21"/>
        </w:rPr>
        <w:t>: el mínimo de las tres anteriores (el eslabón más débil)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2.4 Estado vs. Estado de Calidad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>Son dos campos independientes en el resultado: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Valores posibles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Estado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Resultado del proceso (éxito o tipo de fallo)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OK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VALIDACION_CON_ERRORES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ERROR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DUPLICADO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NO_CLASIFICADO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EstadoCalidad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Fiabilidad de los datos obtenidos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OK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REVISION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ERROR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Un documento puede terminar en </w:t>
      </w:r>
      <w:r>
        <w:rPr>
          <w:rFonts w:ascii="Courier New" w:hAnsi="Courier New"/>
          <w:b w:val="0"/>
          <w:i w:val="0"/>
          <w:color w:val="6A002F"/>
          <w:sz w:val="18"/>
        </w:rPr>
        <w:t>Estado=OK</w:t>
      </w:r>
      <w:r>
        <w:rPr>
          <w:rFonts w:ascii="Calibri" w:hAnsi="Calibri"/>
          <w:b w:val="0"/>
          <w:i w:val="0"/>
          <w:color w:val="202020"/>
          <w:sz w:val="21"/>
        </w:rPr>
        <w:t xml:space="preserve"> pero </w:t>
      </w:r>
      <w:r>
        <w:rPr>
          <w:rFonts w:ascii="Courier New" w:hAnsi="Courier New"/>
          <w:b w:val="0"/>
          <w:i w:val="0"/>
          <w:color w:val="6A002F"/>
          <w:sz w:val="18"/>
        </w:rPr>
        <w:t>EstadoCalidad=REVISION</w:t>
      </w:r>
      <w:r>
        <w:rPr>
          <w:rFonts w:ascii="Calibri" w:hAnsi="Calibri"/>
          <w:b w:val="0"/>
          <w:i w:val="0"/>
          <w:color w:val="202020"/>
          <w:sz w:val="21"/>
        </w:rPr>
        <w:t xml:space="preserve"> (proceso completado, pero con confianza media que requiere revisión humana).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2.5 Flujo Asíncrono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>El procesamiento es siempre asíncrono: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POST</w:t>
      </w:r>
      <w:r>
        <w:rPr>
          <w:rFonts w:ascii="Calibri" w:hAnsi="Calibri"/>
          <w:b w:val="0"/>
          <w:i w:val="0"/>
          <w:color w:val="202020"/>
          <w:sz w:val="21"/>
        </w:rPr>
        <w:t xml:space="preserve"> a </w:t>
      </w:r>
      <w:r>
        <w:rPr>
          <w:rFonts w:ascii="Courier New" w:hAnsi="Courier New"/>
          <w:b w:val="0"/>
          <w:i w:val="0"/>
          <w:color w:val="6A002F"/>
          <w:sz w:val="18"/>
        </w:rPr>
        <w:t>/api/IngestDocument</w:t>
      </w:r>
      <w:r>
        <w:rPr>
          <w:rFonts w:ascii="Calibri" w:hAnsi="Calibri"/>
          <w:b w:val="0"/>
          <w:i w:val="0"/>
          <w:color w:val="202020"/>
          <w:sz w:val="21"/>
        </w:rPr>
        <w:t xml:space="preserve"> → respuesta inmediata </w:t>
      </w:r>
      <w:r>
        <w:rPr>
          <w:rFonts w:ascii="Courier New" w:hAnsi="Courier New"/>
          <w:b w:val="0"/>
          <w:i w:val="0"/>
          <w:color w:val="6A002F"/>
          <w:sz w:val="18"/>
        </w:rPr>
        <w:t>202 Accepted</w:t>
      </w:r>
      <w:r>
        <w:rPr>
          <w:rFonts w:ascii="Calibri" w:hAnsi="Calibri"/>
          <w:b w:val="0"/>
          <w:i w:val="0"/>
          <w:color w:val="202020"/>
          <w:sz w:val="21"/>
        </w:rPr>
        <w:t xml:space="preserve"> con </w:t>
      </w:r>
      <w:r>
        <w:rPr>
          <w:rFonts w:ascii="Courier New" w:hAnsi="Courier New"/>
          <w:b w:val="0"/>
          <w:i w:val="0"/>
          <w:color w:val="6A002F"/>
          <w:sz w:val="18"/>
        </w:rPr>
        <w:t>instanceId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GET</w:t>
      </w:r>
      <w:r>
        <w:rPr>
          <w:rFonts w:ascii="Calibri" w:hAnsi="Calibri"/>
          <w:b w:val="0"/>
          <w:i w:val="0"/>
          <w:color w:val="202020"/>
          <w:sz w:val="21"/>
        </w:rPr>
        <w:t xml:space="preserve"> a la URL de estado → verificar si está </w:t>
      </w:r>
      <w:r>
        <w:rPr>
          <w:rFonts w:ascii="Courier New" w:hAnsi="Courier New"/>
          <w:b w:val="0"/>
          <w:i w:val="0"/>
          <w:color w:val="6A002F"/>
          <w:sz w:val="18"/>
        </w:rPr>
        <w:t>Running</w:t>
      </w:r>
      <w:r>
        <w:rPr>
          <w:rFonts w:ascii="Calibri" w:hAnsi="Calibri"/>
          <w:b w:val="0"/>
          <w:i w:val="0"/>
          <w:color w:val="202020"/>
          <w:sz w:val="21"/>
        </w:rPr>
        <w:t xml:space="preserve"> o </w:t>
      </w:r>
      <w:r>
        <w:rPr>
          <w:rFonts w:ascii="Courier New" w:hAnsi="Courier New"/>
          <w:b w:val="0"/>
          <w:i w:val="0"/>
          <w:color w:val="6A002F"/>
          <w:sz w:val="18"/>
        </w:rPr>
        <w:t>Completed</w:t>
      </w:r>
    </w:p>
    <w:p>
      <w:pPr>
        <w:pStyle w:val="ListNumber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Leer resultado</w:t>
      </w:r>
      <w:r>
        <w:rPr>
          <w:rFonts w:ascii="Calibri" w:hAnsi="Calibri"/>
          <w:b w:val="0"/>
          <w:i w:val="0"/>
          <w:color w:val="202020"/>
          <w:sz w:val="21"/>
        </w:rPr>
        <w:t xml:space="preserve"> del campo </w:t>
      </w:r>
      <w:r>
        <w:rPr>
          <w:rFonts w:ascii="Courier New" w:hAnsi="Courier New"/>
          <w:b w:val="0"/>
          <w:i w:val="0"/>
          <w:color w:val="6A002F"/>
          <w:sz w:val="18"/>
        </w:rPr>
        <w:t>output</w:t>
      </w:r>
      <w:r>
        <w:rPr>
          <w:rFonts w:ascii="Calibri" w:hAnsi="Calibri"/>
          <w:b w:val="0"/>
          <w:i w:val="0"/>
          <w:color w:val="202020"/>
          <w:sz w:val="21"/>
        </w:rPr>
        <w:t xml:space="preserve"> cuando </w:t>
      </w:r>
      <w:r>
        <w:rPr>
          <w:rFonts w:ascii="Courier New" w:hAnsi="Courier New"/>
          <w:b w:val="0"/>
          <w:i w:val="0"/>
          <w:color w:val="6A002F"/>
          <w:sz w:val="18"/>
        </w:rPr>
        <w:t>runtimeStatus = "Completed"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POST /api/IngestDocument</w:t>
      </w:r>
      <w:r>
        <w:br/>
      </w:r>
      <w:r>
        <w:rPr>
          <w:rFonts w:ascii="Courier New" w:hAnsi="Courier New"/>
          <w:color w:val="1E1E1E"/>
          <w:sz w:val="17"/>
        </w:rPr>
        <w:t xml:space="preserve">    └─→  202 { instanceId: "abc123" }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>GET /runtime/.../instances/abc123</w:t>
      </w:r>
      <w:r>
        <w:br/>
      </w:r>
      <w:r>
        <w:rPr>
          <w:rFonts w:ascii="Courier New" w:hAnsi="Courier New"/>
          <w:color w:val="1E1E1E"/>
          <w:sz w:val="17"/>
        </w:rPr>
        <w:t xml:space="preserve">    └─→  { runtimeStatus: "Running", customStatus: { actividad: "Extraer" } }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>GET /runtime/.../instances/abc123   (unos segundos después)</w:t>
      </w:r>
      <w:r>
        <w:br/>
      </w:r>
      <w:r>
        <w:rPr>
          <w:rFonts w:ascii="Courier New" w:hAnsi="Courier New"/>
          <w:color w:val="1E1E1E"/>
          <w:sz w:val="17"/>
        </w:rPr>
        <w:t xml:space="preserve">    └─→  { runtimeStatus: "Completed", output: { resultado: { estado: "OK" } } }</w:t>
      </w:r>
    </w:p>
    <w:p>
      <w:pPr>
        <w:pStyle w:val="Heading2"/>
      </w:pPr>
      <w:r>
        <w:rPr>
          <w:rFonts w:ascii="Calibri" w:hAnsi="Calibri"/>
          <w:b w:val="0"/>
          <w:i w:val="0"/>
          <w:color w:val="00539F"/>
          <w:sz w:val="30"/>
        </w:rPr>
        <w:t>3. Flujos de Clasificación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3.1 Flujo Completo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>El flujo completo incluye todas las etapas del pipeline: normalización, detección de duplicados, subida a blob, clasificación, extracción, validación, integración con plugins, subida al GDC y persistencia en base de datos.</w:t>
      </w:r>
    </w:p>
    <w:p>
      <w:pPr>
        <w:spacing w:before="80" w:after="40"/>
      </w:pPr>
      <w:r>
        <w:rPr>
          <w:rFonts w:ascii="Calibri" w:hAnsi="Calibri"/>
          <w:b/>
          <w:color w:val="0078D4"/>
          <w:sz w:val="20"/>
        </w:rPr>
        <w:t>📊 Diagrama de flujo (representación textual):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flowchart TD</w:t>
      </w:r>
      <w:r>
        <w:br/>
      </w:r>
      <w:r>
        <w:rPr>
          <w:rFonts w:ascii="Courier New" w:hAnsi="Courier New"/>
          <w:color w:val="1E1E1E"/>
          <w:sz w:val="17"/>
        </w:rPr>
        <w:t xml:space="preserve">    A["📄 POST /api/IngestDocument\nDocumento PDF + Instrucciones"] --&gt; B["NormalizarActivity\n• Calcular SHA256/MD5/CRC32\n• Detectar páginas\n• Normalizar nombre"]</w:t>
      </w:r>
      <w:r>
        <w:br/>
      </w:r>
      <w:r>
        <w:rPr>
          <w:rFonts w:ascii="Courier New" w:hAnsi="Courier New"/>
          <w:color w:val="1E1E1E"/>
          <w:sz w:val="17"/>
        </w:rPr>
        <w:t xml:space="preserve">    B --&gt; C["VerificarDuplicadoActivity\n• Buscar por SHA256 en BD\n• ¿Existe resultado previo?"]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--&gt;|"Duplicado + skipDuplicate=false"| D["⚡ DUPLICADO\nReutiliza resultado anterior"]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--&gt;|"No duplicado o forceReprocess"| E["SubirBlobActivity\n• Subir PDF a Azure Blob Storage"]</w:t>
      </w:r>
      <w:r>
        <w:br/>
      </w:r>
      <w:r>
        <w:rPr>
          <w:rFonts w:ascii="Courier New" w:hAnsi="Courier New"/>
          <w:color w:val="1E1E1E"/>
          <w:sz w:val="17"/>
        </w:rPr>
        <w:t xml:space="preserve">    E --&gt; F["ClasificarActivity\n• Azure DI o ExpectedType\n• Fallback GPT si necesario"]</w:t>
      </w:r>
      <w:r>
        <w:br/>
      </w:r>
      <w:r>
        <w:rPr>
          <w:rFonts w:ascii="Courier New" w:hAnsi="Courier New"/>
          <w:color w:val="1E1E1E"/>
          <w:sz w:val="17"/>
        </w:rPr>
        <w:t xml:space="preserve">    F --&gt;|"NO_CLASIFICADO"| G["⚠️ FIN: NO_CLASIFICADO\nDocumento no identificable"]</w:t>
      </w:r>
      <w:r>
        <w:br/>
      </w:r>
      <w:r>
        <w:rPr>
          <w:rFonts w:ascii="Courier New" w:hAnsi="Courier New"/>
          <w:color w:val="1E1E1E"/>
          <w:sz w:val="17"/>
        </w:rPr>
        <w:t xml:space="preserve">    F --&gt;|"Clasificado"| H["ResolverTipologiaActivity\n• Cargar config JSON/BD\n• Validar versión"]</w:t>
      </w:r>
      <w:r>
        <w:br/>
      </w:r>
      <w:r>
        <w:rPr>
          <w:rFonts w:ascii="Courier New" w:hAnsi="Courier New"/>
          <w:color w:val="1E1E1E"/>
          <w:sz w:val="17"/>
        </w:rPr>
        <w:t xml:space="preserve">    H --&gt; I["ExtraerActivity\n• Azure CU / GPT\n• Extraer campos estructurados"]</w:t>
      </w:r>
      <w:r>
        <w:br/>
      </w:r>
      <w:r>
        <w:rPr>
          <w:rFonts w:ascii="Courier New" w:hAnsi="Courier New"/>
          <w:color w:val="1E1E1E"/>
          <w:sz w:val="17"/>
        </w:rPr>
        <w:t xml:space="preserve">    I --&gt; J["ValidarActivity\n• Motor de reglas\n• Validar campos extraídos"]</w:t>
      </w:r>
      <w:r>
        <w:br/>
      </w:r>
      <w:r>
        <w:rPr>
          <w:rFonts w:ascii="Courier New" w:hAnsi="Courier New"/>
          <w:color w:val="1E1E1E"/>
          <w:sz w:val="17"/>
        </w:rPr>
        <w:t xml:space="preserve">    J --&gt; K["IntegrarActivity\n• Ejecutar plugins (REST/SOAP/DLL)\n• Enriquecer datos"]</w:t>
      </w:r>
      <w:r>
        <w:br/>
      </w:r>
      <w:r>
        <w:rPr>
          <w:rFonts w:ascii="Courier New" w:hAnsi="Courier New"/>
          <w:color w:val="1E1E1E"/>
          <w:sz w:val="17"/>
        </w:rPr>
        <w:t xml:space="preserve">    K --&gt; L["SubirGDCActivity\n• Archivar en GDC SINTWS\n• Obtener objectId"]</w:t>
      </w:r>
      <w:r>
        <w:br/>
      </w:r>
      <w:r>
        <w:rPr>
          <w:rFonts w:ascii="Courier New" w:hAnsi="Courier New"/>
          <w:color w:val="1E1E1E"/>
          <w:sz w:val="17"/>
        </w:rPr>
        <w:t xml:space="preserve">    L --&gt; M["PromptActivity\n• Generar resumen ejecutivo\n• GPT-4o-mini"]</w:t>
      </w:r>
      <w:r>
        <w:br/>
      </w:r>
      <w:r>
        <w:rPr>
          <w:rFonts w:ascii="Courier New" w:hAnsi="Courier New"/>
          <w:color w:val="1E1E1E"/>
          <w:sz w:val="17"/>
        </w:rPr>
        <w:t xml:space="preserve">    M --&gt; N["PersistirActivity\n• Guardar resultado en SQL Server\n• Registrar auditoría"]</w:t>
      </w:r>
      <w:r>
        <w:br/>
      </w:r>
      <w:r>
        <w:rPr>
          <w:rFonts w:ascii="Courier New" w:hAnsi="Courier New"/>
          <w:color w:val="1E1E1E"/>
          <w:sz w:val="17"/>
        </w:rPr>
        <w:t xml:space="preserve">    N --&gt; O["✅ COMPLETADO\nResultado disponible via polling"]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 xml:space="preserve">    style D fill:#FFA726,stroke:#E65100,color:#fff</w:t>
      </w:r>
      <w:r>
        <w:br/>
      </w:r>
      <w:r>
        <w:rPr>
          <w:rFonts w:ascii="Courier New" w:hAnsi="Courier New"/>
          <w:color w:val="1E1E1E"/>
          <w:sz w:val="17"/>
        </w:rPr>
        <w:t xml:space="preserve">    style G fill:#EF9A9A,stroke:#C62828,color:#fff</w:t>
      </w:r>
      <w:r>
        <w:br/>
      </w:r>
      <w:r>
        <w:rPr>
          <w:rFonts w:ascii="Courier New" w:hAnsi="Courier New"/>
          <w:color w:val="1E1E1E"/>
          <w:sz w:val="17"/>
        </w:rPr>
        <w:t xml:space="preserve">    style O fill:#81C784,stroke:#2E7D32,color:#fff</w:t>
      </w:r>
    </w:p>
    <w:p>
      <w:pPr>
        <w:spacing w:after="120"/>
      </w:pPr>
      <w:r>
        <w:rPr>
          <w:i/>
          <w:color w:val="666666"/>
          <w:sz w:val="17"/>
        </w:rPr>
        <w:t>Nota: Para visualizar el diagrama interactivo, consulte el fichero Markdown en un editor compatible con Mermaid (VS Code, GitHub, Confluence).</w:t>
      </w:r>
    </w:p>
    <w:p>
      <w:pPr>
        <w:pStyle w:val="Heading4"/>
      </w:pPr>
      <w:r>
        <w:rPr>
          <w:rFonts w:ascii="Calibri" w:hAnsi="Calibri"/>
          <w:b w:val="0"/>
          <w:i w:val="0"/>
          <w:color w:val="0078D4"/>
          <w:sz w:val="18"/>
        </w:rPr>
        <w:t>Actividades del flujo completo y su propósito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Actividad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Propósito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Tiempo estimado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NormalizarActivity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Calcula hashes (SHA256, MD5, CRC32), detecta páginas, normaliza el nombre del fichero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&lt; 1 s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VerificarDuplicadoActivity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Detecta si el documento ya fue procesado (por SHA256)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&lt; 1 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SubirBlobActivity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Sube el PDF a Azure Blob Storage para trazabilidad y procesamiento posterior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1–3 s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ClasificarActivity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Identifica el tipo de documento mediante Azure DI o GPT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3–15 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ResolverTipologiaActivity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Carga la configuración de la tipología detectada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&lt; 1 s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ExtraerActivity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Extrae campos estructurados del documento (Azure CU o GPT)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5–20 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ValidarActivity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Valida los campos extraídos contra las reglas de negocio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&lt; 1 s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IntegrarActivity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Ejecuta plugins de enriquecimiento (REST/SOAP/DLL)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1–10 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SubirGDCActivity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Archiva el documento en el GDC corporativo (SINTWS SOAP)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2–8 s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PromptActivity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Genera un resumen ejecutivo del documento usando LLM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3–8 s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PersistirActivity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Persiste el resultado completo en SQL Server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&lt; 1 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Tiempo total estimado:</w:t>
      </w:r>
      <w:r>
        <w:rPr>
          <w:rFonts w:ascii="Calibri" w:hAnsi="Calibri"/>
          <w:b w:val="0"/>
          <w:i w:val="0"/>
          <w:color w:val="202020"/>
          <w:sz w:val="21"/>
        </w:rPr>
        <w:t xml:space="preserve"> 15–60 segundos (variable según tamaño del documento y latencia de servicios externos).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3.2 Flujo Solo Clasificación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El flujo de </w:t>
      </w:r>
      <w:r>
        <w:rPr>
          <w:rFonts w:ascii="Calibri" w:hAnsi="Calibri"/>
          <w:b/>
          <w:i w:val="0"/>
          <w:color w:val="202020"/>
          <w:sz w:val="21"/>
        </w:rPr>
        <w:t>solo clasificación</w:t>
      </w:r>
      <w:r>
        <w:rPr>
          <w:rFonts w:ascii="Calibri" w:hAnsi="Calibri"/>
          <w:b w:val="0"/>
          <w:i w:val="0"/>
          <w:color w:val="202020"/>
          <w:sz w:val="21"/>
        </w:rPr>
        <w:t xml:space="preserve"> es un modo optimizado que detiene el pipeline tras identificar el tipo de documento, sin ejecutar extracción, validación, plugins ni persistencia completa.</w:t>
      </w:r>
    </w:p>
    <w:p>
      <w:pPr>
        <w:spacing w:before="80" w:after="80"/>
        <w:ind w:left="567" w:right="567"/>
        <w:shd w:val="clear" w:color="auto" w:fill="E8F1FA"/>
        <w:pBdr>
          <w:left w:val="single" w:sz="12" w:space="6" w:color="0078D4"/>
        </w:pBdr>
      </w:pPr>
      <w:r>
        <w:rPr>
          <w:rFonts w:ascii="Calibri" w:hAnsi="Calibri"/>
          <w:i/>
          <w:color w:val="00539F"/>
          <w:sz w:val="20"/>
        </w:rPr>
        <w:t>Cuándo usar: Cuando solo necesitas saber qué tipo de documento es, sin procesar su contenido ni integrar con sistemas externos.</w:t>
      </w:r>
    </w:p>
    <w:p>
      <w:pPr>
        <w:spacing w:before="80" w:after="40"/>
      </w:pPr>
      <w:r>
        <w:rPr>
          <w:rFonts w:ascii="Calibri" w:hAnsi="Calibri"/>
          <w:b/>
          <w:color w:val="0078D4"/>
          <w:sz w:val="20"/>
        </w:rPr>
        <w:t>📊 Diagrama de flujo (representación textual):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flowchart TD</w:t>
      </w:r>
      <w:r>
        <w:br/>
      </w:r>
      <w:r>
        <w:rPr>
          <w:rFonts w:ascii="Courier New" w:hAnsi="Courier New"/>
          <w:color w:val="1E1E1E"/>
          <w:sz w:val="17"/>
        </w:rPr>
        <w:t xml:space="preserve">    A["📄 POST /api/IngestDocument\n(classificationOnly mode)"] --&gt; B["NormalizarActivity\n• Calcular hashes\n• Recortar páginas si MaxPages &gt; 0"]</w:t>
      </w:r>
      <w:r>
        <w:br/>
      </w:r>
      <w:r>
        <w:rPr>
          <w:rFonts w:ascii="Courier New" w:hAnsi="Courier New"/>
          <w:color w:val="1E1E1E"/>
          <w:sz w:val="17"/>
        </w:rPr>
        <w:t xml:space="preserve">    B --&gt; C["ClasificarActivity\n• Azure DI (páginas limitadas)\n• Fallback GPT si necesario"]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--&gt;|"NO_CLASIFICADO"| D["⚠️ FIN: NO_CLASIFICADO"]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--&gt;|"Clasificado"| E["ResolverTipologiaActivity\n• Cargar config tipología"]</w:t>
      </w:r>
      <w:r>
        <w:br/>
      </w:r>
      <w:r>
        <w:rPr>
          <w:rFonts w:ascii="Courier New" w:hAnsi="Courier New"/>
          <w:color w:val="1E1E1E"/>
          <w:sz w:val="17"/>
        </w:rPr>
        <w:t xml:space="preserve">    E --&gt; F["✅ COMPLETADO\nResultado: tipología + confianza"]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 xml:space="preserve">    style D fill:#EF9A9A,stroke:#C62828,color:#fff</w:t>
      </w:r>
      <w:r>
        <w:br/>
      </w:r>
      <w:r>
        <w:rPr>
          <w:rFonts w:ascii="Courier New" w:hAnsi="Courier New"/>
          <w:color w:val="1E1E1E"/>
          <w:sz w:val="17"/>
        </w:rPr>
        <w:t xml:space="preserve">    style F fill:#81C784,stroke:#2E7D32,color:#fff</w:t>
      </w:r>
    </w:p>
    <w:p>
      <w:pPr>
        <w:spacing w:after="120"/>
      </w:pPr>
      <w:r>
        <w:rPr>
          <w:i/>
          <w:color w:val="666666"/>
          <w:sz w:val="17"/>
        </w:rPr>
        <w:t>Nota: Para visualizar el diagrama interactivo, consulte el fichero Markdown en un editor compatible con Mermaid (VS Code, GitHub, Confluence).</w:t>
      </w:r>
    </w:p>
    <w:p>
      <w:pPr>
        <w:pStyle w:val="Heading4"/>
      </w:pPr>
      <w:r>
        <w:rPr>
          <w:rFonts w:ascii="Calibri" w:hAnsi="Calibri"/>
          <w:b w:val="0"/>
          <w:i w:val="0"/>
          <w:color w:val="0078D4"/>
          <w:sz w:val="18"/>
        </w:rPr>
        <w:t>Activar el modo solo clasificación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Se activa mediante el parámetro </w:t>
      </w:r>
      <w:r>
        <w:rPr>
          <w:rFonts w:ascii="Courier New" w:hAnsi="Courier New"/>
          <w:b w:val="0"/>
          <w:i w:val="0"/>
          <w:color w:val="6A002F"/>
          <w:sz w:val="18"/>
        </w:rPr>
        <w:t>instrucciones.classification.classificationOnly</w:t>
      </w:r>
      <w:r>
        <w:rPr>
          <w:rFonts w:ascii="Calibri" w:hAnsi="Calibri"/>
          <w:b w:val="0"/>
          <w:i w:val="0"/>
          <w:color w:val="202020"/>
          <w:sz w:val="21"/>
        </w:rPr>
        <w:t xml:space="preserve"> (o el script dedicado) con la instrucción de no ejecutar extracción: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{</w:t>
      </w:r>
      <w:r>
        <w:br/>
      </w:r>
      <w:r>
        <w:rPr>
          <w:rFonts w:ascii="Courier New" w:hAnsi="Courier New"/>
          <w:color w:val="1E1E1E"/>
          <w:sz w:val="17"/>
        </w:rPr>
        <w:t xml:space="preserve">  "instrucciones": {</w:t>
      </w:r>
      <w:r>
        <w:br/>
      </w:r>
      <w:r>
        <w:rPr>
          <w:rFonts w:ascii="Courier New" w:hAnsi="Courier New"/>
          <w:color w:val="1E1E1E"/>
          <w:sz w:val="17"/>
        </w:rPr>
        <w:t xml:space="preserve">    "skipDuplicateCheck": true,</w:t>
      </w:r>
      <w:r>
        <w:br/>
      </w:r>
      <w:r>
        <w:rPr>
          <w:rFonts w:ascii="Courier New" w:hAnsi="Courier New"/>
          <w:color w:val="1E1E1E"/>
          <w:sz w:val="17"/>
        </w:rPr>
        <w:t xml:space="preserve">    "classification": {</w:t>
      </w:r>
      <w:r>
        <w:br/>
      </w:r>
      <w:r>
        <w:rPr>
          <w:rFonts w:ascii="Courier New" w:hAnsi="Courier New"/>
          <w:color w:val="1E1E1E"/>
          <w:sz w:val="17"/>
        </w:rPr>
        <w:t xml:space="preserve">      "provider": "auto",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"model": "auto",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"umbral": 0.50</w:t>
      </w:r>
      <w:r>
        <w:br/>
      </w:r>
      <w:r>
        <w:rPr>
          <w:rFonts w:ascii="Courier New" w:hAnsi="Courier New"/>
          <w:color w:val="1E1E1E"/>
          <w:sz w:val="17"/>
        </w:rPr>
        <w:t xml:space="preserve">    },</w:t>
      </w:r>
      <w:r>
        <w:br/>
      </w:r>
      <w:r>
        <w:rPr>
          <w:rFonts w:ascii="Courier New" w:hAnsi="Courier New"/>
          <w:color w:val="1E1E1E"/>
          <w:sz w:val="17"/>
        </w:rPr>
        <w:t xml:space="preserve">    "extraction": {</w:t>
      </w:r>
      <w:r>
        <w:br/>
      </w:r>
      <w:r>
        <w:rPr>
          <w:rFonts w:ascii="Courier New" w:hAnsi="Courier New"/>
          <w:color w:val="1E1E1E"/>
          <w:sz w:val="17"/>
        </w:rPr>
        <w:t xml:space="preserve">      "provider": "mock"</w:t>
      </w:r>
      <w:r>
        <w:br/>
      </w:r>
      <w:r>
        <w:rPr>
          <w:rFonts w:ascii="Courier New" w:hAnsi="Courier New"/>
          <w:color w:val="1E1E1E"/>
          <w:sz w:val="17"/>
        </w:rPr>
        <w:t xml:space="preserve">    }</w:t>
      </w:r>
      <w:r>
        <w:br/>
      </w:r>
      <w:r>
        <w:rPr>
          <w:rFonts w:ascii="Courier New" w:hAnsi="Courier New"/>
          <w:color w:val="1E1E1E"/>
          <w:sz w:val="17"/>
        </w:rPr>
        <w:t xml:space="preserve">  },</w:t>
      </w:r>
      <w:r>
        <w:br/>
      </w:r>
      <w:r>
        <w:rPr>
          <w:rFonts w:ascii="Courier New" w:hAnsi="Courier New"/>
          <w:color w:val="1E1E1E"/>
          <w:sz w:val="17"/>
        </w:rPr>
        <w:t xml:space="preserve">  "documento": {</w:t>
      </w:r>
      <w:r>
        <w:br/>
      </w:r>
      <w:r>
        <w:rPr>
          <w:rFonts w:ascii="Courier New" w:hAnsi="Courier New"/>
          <w:color w:val="1E1E1E"/>
          <w:sz w:val="17"/>
        </w:rPr>
        <w:t xml:space="preserve">    "name": "documento_desconocido.pdf",</w:t>
      </w:r>
      <w:r>
        <w:br/>
      </w:r>
      <w:r>
        <w:rPr>
          <w:rFonts w:ascii="Courier New" w:hAnsi="Courier New"/>
          <w:color w:val="1E1E1E"/>
          <w:sz w:val="17"/>
        </w:rPr>
        <w:t xml:space="preserve">    "content": { "base64": "&lt;BASE64&gt;" }</w:t>
      </w:r>
      <w:r>
        <w:br/>
      </w:r>
      <w:r>
        <w:rPr>
          <w:rFonts w:ascii="Courier New" w:hAnsi="Courier New"/>
          <w:color w:val="1E1E1E"/>
          <w:sz w:val="17"/>
        </w:rPr>
        <w:t xml:space="preserve">  }</w:t>
      </w:r>
      <w:r>
        <w:br/>
      </w:r>
      <w:r>
        <w:rPr>
          <w:rFonts w:ascii="Courier New" w:hAnsi="Courier New"/>
          <w:color w:val="1E1E1E"/>
          <w:sz w:val="17"/>
        </w:rPr>
        <w:t>}</w:t>
      </w:r>
    </w:p>
    <w:p>
      <w:pPr>
        <w:pStyle w:val="Heading4"/>
      </w:pPr>
      <w:r>
        <w:rPr>
          <w:rFonts w:ascii="Calibri" w:hAnsi="Calibri"/>
          <w:b w:val="0"/>
          <w:i w:val="0"/>
          <w:color w:val="0078D4"/>
          <w:sz w:val="18"/>
        </w:rPr>
        <w:t>Diferencias entre flujo completo y solo clasificación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Característica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Flujo Completo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Solo Clasificación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Actividades ejecutadas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Todas (11 actividades)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3–4 actividades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Extracción de datos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 No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Validación de campos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 No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Plugins de enriquecimiento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 No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Subida a GDC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 (si configurado)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 No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Persistencia en BD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Completa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Mínima (solo clasificación)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Tiempo estimado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15–60 s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4–18 s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Coste estimado (tokens IA)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Alto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Bajo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Ideal para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Procesamiento definitivo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Pre-clasificación, enrutamiento, validación masiva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b w:val="0"/>
          <w:i w:val="0"/>
          <w:color w:val="00539F"/>
          <w:sz w:val="30"/>
        </w:rPr>
        <w:t>4. Modos de Clasificación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4.1 Clasificación Automática (Azure DI)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El modo por defecto. El sistema envía el documento a </w:t>
      </w:r>
      <w:r>
        <w:rPr>
          <w:rFonts w:ascii="Calibri" w:hAnsi="Calibri"/>
          <w:b/>
          <w:i w:val="0"/>
          <w:color w:val="202020"/>
          <w:sz w:val="21"/>
        </w:rPr>
        <w:t>Azure AI Document Intelligence</w:t>
      </w:r>
      <w:r>
        <w:rPr>
          <w:rFonts w:ascii="Calibri" w:hAnsi="Calibri"/>
          <w:b w:val="0"/>
          <w:i w:val="0"/>
          <w:color w:val="202020"/>
          <w:sz w:val="21"/>
        </w:rPr>
        <w:t xml:space="preserve"> (modelo custom </w:t>
      </w:r>
      <w:r>
        <w:rPr>
          <w:rFonts w:ascii="Courier New" w:hAnsi="Courier New"/>
          <w:b w:val="0"/>
          <w:i w:val="0"/>
          <w:color w:val="6A002F"/>
          <w:sz w:val="18"/>
        </w:rPr>
        <w:t>DocumentAICC_v0</w:t>
      </w:r>
      <w:r>
        <w:rPr>
          <w:rFonts w:ascii="Calibri" w:hAnsi="Calibri"/>
          <w:b w:val="0"/>
          <w:i w:val="0"/>
          <w:color w:val="202020"/>
          <w:sz w:val="21"/>
        </w:rPr>
        <w:t>) que devuelve una tipología y una puntuación de confianza.</w:t>
      </w:r>
    </w:p>
    <w:p>
      <w:pPr>
        <w:spacing w:before="80" w:after="40"/>
      </w:pPr>
      <w:r>
        <w:rPr>
          <w:rFonts w:ascii="Calibri" w:hAnsi="Calibri"/>
          <w:b/>
          <w:color w:val="0078D4"/>
          <w:sz w:val="20"/>
        </w:rPr>
        <w:t>📊 Diagrama de flujo (representación textual):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flowchart LR</w:t>
      </w:r>
      <w:r>
        <w:br/>
      </w:r>
      <w:r>
        <w:rPr>
          <w:rFonts w:ascii="Courier New" w:hAnsi="Courier New"/>
          <w:color w:val="1E1E1E"/>
          <w:sz w:val="17"/>
        </w:rPr>
        <w:t xml:space="preserve">    A["Documento PDF"] --&gt; B["Azure DI\nDocumentAICC_v0"]</w:t>
      </w:r>
      <w:r>
        <w:br/>
      </w:r>
      <w:r>
        <w:rPr>
          <w:rFonts w:ascii="Courier New" w:hAnsi="Courier New"/>
          <w:color w:val="1E1E1E"/>
          <w:sz w:val="17"/>
        </w:rPr>
        <w:t xml:space="preserve">    B --&gt; C{Resultado}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--&gt;|"Tipología + confianza ≥ 0.85"| D["✅ Clasificado\nSin fallback"]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--&gt;|"Tipología + confianza &lt; 0.85"| E["⚡ Fallback GPT"]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--&gt;|"RESTO"| E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--&gt;|"Error de API"| E</w:t>
      </w:r>
      <w:r>
        <w:br/>
      </w:r>
      <w:r>
        <w:rPr>
          <w:rFonts w:ascii="Courier New" w:hAnsi="Courier New"/>
          <w:color w:val="1E1E1E"/>
          <w:sz w:val="17"/>
        </w:rPr>
        <w:t xml:space="preserve">    E --&gt; F{GPT result}</w:t>
      </w:r>
      <w:r>
        <w:br/>
      </w:r>
      <w:r>
        <w:rPr>
          <w:rFonts w:ascii="Courier New" w:hAnsi="Courier New"/>
          <w:color w:val="1E1E1E"/>
          <w:sz w:val="17"/>
        </w:rPr>
        <w:t xml:space="preserve">    F --&gt;|"Tipología válida"| G["✅ Clasificado\ncon fallback"]</w:t>
      </w:r>
      <w:r>
        <w:br/>
      </w:r>
      <w:r>
        <w:rPr>
          <w:rFonts w:ascii="Courier New" w:hAnsi="Courier New"/>
          <w:color w:val="1E1E1E"/>
          <w:sz w:val="17"/>
        </w:rPr>
        <w:t xml:space="preserve">    F --&gt;|"Desconocido / baja confianza"| H["⚠️ NO_CLASIFICADO"]</w:t>
      </w:r>
    </w:p>
    <w:p>
      <w:pPr>
        <w:spacing w:after="120"/>
      </w:pPr>
      <w:r>
        <w:rPr>
          <w:i/>
          <w:color w:val="666666"/>
          <w:sz w:val="17"/>
        </w:rPr>
        <w:t>Nota: Para visualizar el diagrama interactivo, consulte el fichero Markdown en un editor compatible con Mermaid (VS Code, GitHub, Confluence).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Configuración del modelo de clasificación: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// config/classification/models.json</w:t>
      </w:r>
      <w:r>
        <w:br/>
      </w:r>
      <w:r>
        <w:rPr>
          <w:rFonts w:ascii="Courier New" w:hAnsi="Courier New"/>
          <w:color w:val="1E1E1E"/>
          <w:sz w:val="17"/>
        </w:rPr>
        <w:t>{</w:t>
      </w:r>
      <w:r>
        <w:br/>
      </w:r>
      <w:r>
        <w:rPr>
          <w:rFonts w:ascii="Courier New" w:hAnsi="Courier New"/>
          <w:color w:val="1E1E1E"/>
          <w:sz w:val="17"/>
        </w:rPr>
        <w:t xml:space="preserve">  "Models": [</w:t>
      </w:r>
      <w:r>
        <w:br/>
      </w:r>
      <w:r>
        <w:rPr>
          <w:rFonts w:ascii="Courier New" w:hAnsi="Courier New"/>
          <w:color w:val="1E1E1E"/>
          <w:sz w:val="17"/>
        </w:rPr>
        <w:t xml:space="preserve">    {</w:t>
      </w:r>
      <w:r>
        <w:br/>
      </w:r>
      <w:r>
        <w:rPr>
          <w:rFonts w:ascii="Courier New" w:hAnsi="Courier New"/>
          <w:color w:val="1E1E1E"/>
          <w:sz w:val="17"/>
        </w:rPr>
        <w:t xml:space="preserve">      "Key": "default.azure-di",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"Provider": "azure-document-intelligence",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"ClassifierId": "DocumentAICC_v0",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"ApiVersion": "2024-11-30",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"IsDefault": true,</w:t>
      </w:r>
      <w:r>
        <w:br/>
      </w:r>
      <w:r>
        <w:rPr>
          <w:rFonts w:ascii="Courier New" w:hAnsi="Courier New"/>
          <w:color w:val="1E1E1E"/>
          <w:sz w:val="17"/>
        </w:rPr>
        <w:t xml:space="preserve">      "UseAsFallback": false,</w:t>
      </w:r>
      <w:r>
        <w:br/>
      </w:r>
      <w:r>
        <w:rPr>
          <w:rFonts w:ascii="Courier New" w:hAnsi="Courier New"/>
          <w:color w:val="1E1E1E"/>
          <w:sz w:val="17"/>
        </w:rPr>
        <w:t xml:space="preserve">      "TimeoutSeconds": 120</w:t>
      </w:r>
      <w:r>
        <w:br/>
      </w:r>
      <w:r>
        <w:rPr>
          <w:rFonts w:ascii="Courier New" w:hAnsi="Courier New"/>
          <w:color w:val="1E1E1E"/>
          <w:sz w:val="17"/>
        </w:rPr>
        <w:t xml:space="preserve">    },</w:t>
      </w:r>
      <w:r>
        <w:br/>
      </w:r>
      <w:r>
        <w:rPr>
          <w:rFonts w:ascii="Courier New" w:hAnsi="Courier New"/>
          <w:color w:val="1E1E1E"/>
          <w:sz w:val="17"/>
        </w:rPr>
        <w:t xml:space="preserve">    {</w:t>
      </w:r>
      <w:r>
        <w:br/>
      </w:r>
      <w:r>
        <w:rPr>
          <w:rFonts w:ascii="Courier New" w:hAnsi="Courier New"/>
          <w:color w:val="1E1E1E"/>
          <w:sz w:val="17"/>
        </w:rPr>
        <w:t xml:space="preserve">      "Key": "classification.gpt4o-mini-fallback",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"Provider": "azure-openai",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"IsDefault": false,</w:t>
      </w:r>
      <w:r>
        <w:br/>
      </w:r>
      <w:r>
        <w:rPr>
          <w:rFonts w:ascii="Courier New" w:hAnsi="Courier New"/>
          <w:color w:val="1E1E1E"/>
          <w:sz w:val="17"/>
        </w:rPr>
        <w:t xml:space="preserve">      "UseAsFallback": true,</w:t>
      </w:r>
      <w:r>
        <w:br/>
      </w:r>
      <w:r>
        <w:rPr>
          <w:rFonts w:ascii="Courier New" w:hAnsi="Courier New"/>
          <w:color w:val="1E1E1E"/>
          <w:sz w:val="17"/>
        </w:rPr>
        <w:t xml:space="preserve">      "DeploymentName": "gpt-4o-mini",</w:t>
      </w:r>
      <w:r>
        <w:br/>
      </w:r>
      <w:r>
        <w:rPr>
          <w:rFonts w:ascii="Courier New" w:hAnsi="Courier New"/>
          <w:color w:val="1E1E1E"/>
          <w:sz w:val="17"/>
        </w:rPr>
        <w:t xml:space="preserve">      "TimeoutSeconds": 30,</w:t>
      </w:r>
      <w:r>
        <w:br/>
      </w:r>
      <w:r>
        <w:rPr>
          <w:rFonts w:ascii="Courier New" w:hAnsi="Courier New"/>
          <w:color w:val="1E1E1E"/>
          <w:sz w:val="17"/>
        </w:rPr>
        <w:t xml:space="preserve">      "MaxTokens": 150</w:t>
      </w:r>
      <w:r>
        <w:br/>
      </w:r>
      <w:r>
        <w:rPr>
          <w:rFonts w:ascii="Courier New" w:hAnsi="Courier New"/>
          <w:color w:val="1E1E1E"/>
          <w:sz w:val="17"/>
        </w:rPr>
        <w:t xml:space="preserve">    }</w:t>
      </w:r>
      <w:r>
        <w:br/>
      </w:r>
      <w:r>
        <w:rPr>
          <w:rFonts w:ascii="Courier New" w:hAnsi="Courier New"/>
          <w:color w:val="1E1E1E"/>
          <w:sz w:val="17"/>
        </w:rPr>
        <w:t xml:space="preserve">  ]</w:t>
      </w:r>
      <w:r>
        <w:br/>
      </w:r>
      <w:r>
        <w:rPr>
          <w:rFonts w:ascii="Courier New" w:hAnsi="Courier New"/>
          <w:color w:val="1E1E1E"/>
          <w:sz w:val="17"/>
        </w:rPr>
        <w:t>}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Umbral de confianza configurable por petición: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"instrucciones": {</w:t>
      </w:r>
      <w:r>
        <w:br/>
      </w:r>
      <w:r>
        <w:rPr>
          <w:rFonts w:ascii="Courier New" w:hAnsi="Courier New"/>
          <w:color w:val="1E1E1E"/>
          <w:sz w:val="17"/>
        </w:rPr>
        <w:t xml:space="preserve">  "classification": {</w:t>
      </w:r>
      <w:r>
        <w:br/>
      </w:r>
      <w:r>
        <w:rPr>
          <w:rFonts w:ascii="Courier New" w:hAnsi="Courier New"/>
          <w:color w:val="1E1E1E"/>
          <w:sz w:val="17"/>
        </w:rPr>
        <w:t xml:space="preserve">    "provider": "auto",</w:t>
      </w:r>
      <w:r>
        <w:br/>
      </w:r>
      <w:r>
        <w:rPr>
          <w:rFonts w:ascii="Courier New" w:hAnsi="Courier New"/>
          <w:color w:val="1E1E1E"/>
          <w:sz w:val="17"/>
        </w:rPr>
        <w:t xml:space="preserve">    "model": "auto",</w:t>
      </w:r>
      <w:r>
        <w:br/>
      </w:r>
      <w:r>
        <w:rPr>
          <w:rFonts w:ascii="Courier New" w:hAnsi="Courier New"/>
          <w:color w:val="1E1E1E"/>
          <w:sz w:val="17"/>
        </w:rPr>
        <w:t xml:space="preserve">    "umbral": 0.85    // ← Se puede ajustar por petición (0.0 – 1.0)</w:t>
      </w:r>
      <w:r>
        <w:br/>
      </w:r>
      <w:r>
        <w:rPr>
          <w:rFonts w:ascii="Courier New" w:hAnsi="Courier New"/>
          <w:color w:val="1E1E1E"/>
          <w:sz w:val="17"/>
        </w:rPr>
        <w:t xml:space="preserve">  }</w:t>
      </w:r>
      <w:r>
        <w:br/>
      </w:r>
      <w:r>
        <w:rPr>
          <w:rFonts w:ascii="Courier New" w:hAnsi="Courier New"/>
          <w:color w:val="1E1E1E"/>
          <w:sz w:val="17"/>
        </w:rP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Umbral</w:t>
            </w:r>
          </w:p>
        </w:tc>
        <w:tc>
          <w:tcPr>
            <w:tcW w:type="dxa" w:w="453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Comportamiento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0.85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 (default)</w:t>
            </w:r>
          </w:p>
        </w:tc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Fallback GPT si DI &lt; 0.85</w:t>
            </w:r>
          </w:p>
        </w:tc>
      </w:tr>
      <w:tr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0.50</w:t>
            </w:r>
          </w:p>
        </w:tc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Acepta clasificaciones DI con confianza ≥ 0.50, fallback solo si &lt; 0.50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1.0</w:t>
            </w:r>
          </w:p>
        </w:tc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Siempre fallback GPT (DI nunca supera 1.0)</w:t>
            </w:r>
          </w:p>
        </w:tc>
      </w:tr>
      <w:tr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0.0</w:t>
            </w:r>
          </w:p>
        </w:tc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Nunca fallback (acepta cualquier confianza DI, excepto RESTO)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4.2 Clasificación Forzada (ExpectedType)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Cuando el sistema de origen ya conoce el tipo de documento, puede informar </w:t>
      </w:r>
      <w:r>
        <w:rPr>
          <w:rFonts w:ascii="Courier New" w:hAnsi="Courier New"/>
          <w:b w:val="0"/>
          <w:i w:val="0"/>
          <w:color w:val="6A002F"/>
          <w:sz w:val="18"/>
        </w:rPr>
        <w:t>expectedType</w:t>
      </w:r>
      <w:r>
        <w:rPr>
          <w:rFonts w:ascii="Calibri" w:hAnsi="Calibri"/>
          <w:b w:val="0"/>
          <w:i w:val="0"/>
          <w:color w:val="202020"/>
          <w:sz w:val="21"/>
        </w:rPr>
        <w:t xml:space="preserve"> para </w:t>
      </w:r>
      <w:r>
        <w:rPr>
          <w:rFonts w:ascii="Calibri" w:hAnsi="Calibri"/>
          <w:b/>
          <w:i w:val="0"/>
          <w:color w:val="202020"/>
          <w:sz w:val="21"/>
        </w:rPr>
        <w:t>saltarse la clasificación automática</w:t>
      </w:r>
      <w:r>
        <w:rPr>
          <w:rFonts w:ascii="Calibri" w:hAnsi="Calibri"/>
          <w:b w:val="0"/>
          <w:i w:val="0"/>
          <w:color w:val="202020"/>
          <w:sz w:val="21"/>
        </w:rPr>
        <w:t xml:space="preserve">. El sistema usa directamente esa tipología con </w:t>
      </w:r>
      <w:r>
        <w:rPr>
          <w:rFonts w:ascii="Courier New" w:hAnsi="Courier New"/>
          <w:b w:val="0"/>
          <w:i w:val="0"/>
          <w:color w:val="6A002F"/>
          <w:sz w:val="18"/>
        </w:rPr>
        <w:t>confianza = 1.0</w:t>
      </w:r>
      <w:r>
        <w:rPr>
          <w:rFonts w:ascii="Calibri" w:hAnsi="Calibri"/>
          <w:b w:val="0"/>
          <w:i w:val="0"/>
          <w:color w:val="202020"/>
          <w:sz w:val="21"/>
        </w:rPr>
        <w:t xml:space="preserve"> y el modelo registrado como </w:t>
      </w:r>
      <w:r>
        <w:rPr>
          <w:rFonts w:ascii="Courier New" w:hAnsi="Courier New"/>
          <w:b w:val="0"/>
          <w:i w:val="0"/>
          <w:color w:val="6A002F"/>
          <w:sz w:val="18"/>
        </w:rPr>
        <w:t>"expectedtype-input"</w:t>
      </w:r>
      <w:r>
        <w:rPr>
          <w:rFonts w:ascii="Calibri" w:hAnsi="Calibri"/>
          <w:b w:val="0"/>
          <w:i w:val="0"/>
          <w:color w:val="202020"/>
          <w:sz w:val="21"/>
        </w:rPr>
        <w:t>.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// Ejemplo: forzar clasificación como Nota Simple v1.4</w:t>
      </w:r>
      <w:r>
        <w:br/>
      </w:r>
      <w:r>
        <w:rPr>
          <w:rFonts w:ascii="Courier New" w:hAnsi="Courier New"/>
          <w:color w:val="1E1E1E"/>
          <w:sz w:val="17"/>
        </w:rPr>
        <w:t>{</w:t>
      </w:r>
      <w:r>
        <w:br/>
      </w:r>
      <w:r>
        <w:rPr>
          <w:rFonts w:ascii="Courier New" w:hAnsi="Courier New"/>
          <w:color w:val="1E1E1E"/>
          <w:sz w:val="17"/>
        </w:rPr>
        <w:t xml:space="preserve">  "instrucciones": {</w:t>
      </w:r>
      <w:r>
        <w:br/>
      </w:r>
      <w:r>
        <w:rPr>
          <w:rFonts w:ascii="Courier New" w:hAnsi="Courier New"/>
          <w:color w:val="1E1E1E"/>
          <w:sz w:val="17"/>
        </w:rPr>
        <w:t xml:space="preserve">    "expectedType": "nota-simple",</w:t>
      </w:r>
      <w:r>
        <w:br/>
      </w:r>
      <w:r>
        <w:rPr>
          <w:rFonts w:ascii="Courier New" w:hAnsi="Courier New"/>
          <w:color w:val="1E1E1E"/>
          <w:sz w:val="17"/>
        </w:rPr>
        <w:t xml:space="preserve">    "skipDuplicateCheck": false</w:t>
      </w:r>
      <w:r>
        <w:br/>
      </w:r>
      <w:r>
        <w:rPr>
          <w:rFonts w:ascii="Courier New" w:hAnsi="Courier New"/>
          <w:color w:val="1E1E1E"/>
          <w:sz w:val="17"/>
        </w:rPr>
        <w:t xml:space="preserve">  }</w:t>
      </w:r>
      <w:r>
        <w:br/>
      </w:r>
      <w:r>
        <w:rPr>
          <w:rFonts w:ascii="Courier New" w:hAnsi="Courier New"/>
          <w:color w:val="1E1E1E"/>
          <w:sz w:val="17"/>
        </w:rPr>
        <w:t>}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Formatos válidos para `expectedType`: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Formato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Ejemplo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Nombre de familia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"nota-simple"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Usa la versión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isDefault: true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 (actualmente v1.4)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Familia@versión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"nota-simple@1.3"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Usa exactamente la versión 1.3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Clave técnica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"nota.simple.1_3"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Usa la clave técnica directa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Comportamiento con `expectedType` informado:</w:t>
      </w:r>
    </w:p>
    <w:p>
      <w:pPr>
        <w:spacing w:before="80" w:after="40"/>
      </w:pPr>
      <w:r>
        <w:rPr>
          <w:rFonts w:ascii="Calibri" w:hAnsi="Calibri"/>
          <w:b/>
          <w:color w:val="0078D4"/>
          <w:sz w:val="20"/>
        </w:rPr>
        <w:t>📊 Diagrama de flujo (representación textual):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flowchart LR</w:t>
      </w:r>
      <w:r>
        <w:br/>
      </w:r>
      <w:r>
        <w:rPr>
          <w:rFonts w:ascii="Courier New" w:hAnsi="Courier New"/>
          <w:color w:val="1E1E1E"/>
          <w:sz w:val="17"/>
        </w:rPr>
        <w:t xml:space="preserve">    A["instrucciones.expectedType\n= 'nota-simple'"] --&gt; B["Resolver tipología\nnota-simple → v1.4 (default)"]</w:t>
      </w:r>
      <w:r>
        <w:br/>
      </w:r>
      <w:r>
        <w:rPr>
          <w:rFonts w:ascii="Courier New" w:hAnsi="Courier New"/>
          <w:color w:val="1E1E1E"/>
          <w:sz w:val="17"/>
        </w:rPr>
        <w:t xml:space="preserve">    B --&gt; C["Clasificación: OK\nconfianza = 1.0\nmodelo = 'expectedtype-input'"]</w:t>
      </w:r>
      <w:r>
        <w:br/>
      </w:r>
      <w:r>
        <w:rPr>
          <w:rFonts w:ascii="Courier New" w:hAnsi="Courier New"/>
          <w:color w:val="1E1E1E"/>
          <w:sz w:val="17"/>
        </w:rPr>
        <w:t xml:space="preserve">    C --&gt; D["Continúa con Extracción\n(si el flujo es completo)"]</w:t>
      </w:r>
    </w:p>
    <w:p>
      <w:pPr>
        <w:spacing w:after="120"/>
      </w:pPr>
      <w:r>
        <w:rPr>
          <w:i/>
          <w:color w:val="666666"/>
          <w:sz w:val="17"/>
        </w:rPr>
        <w:t>Nota: Para visualizar el diagrama interactivo, consulte el fichero Markdown en un editor compatible con Mermaid (VS Code, GitHub, Confluence).</w:t>
      </w:r>
    </w:p>
    <w:p>
      <w:pPr>
        <w:spacing w:before="80" w:after="80"/>
        <w:ind w:left="567" w:right="567"/>
        <w:shd w:val="clear" w:color="auto" w:fill="E8F1FA"/>
        <w:pBdr>
          <w:left w:val="single" w:sz="12" w:space="6" w:color="0078D4"/>
        </w:pBdr>
      </w:pPr>
      <w:r>
        <w:rPr>
          <w:rFonts w:ascii="Calibri" w:hAnsi="Calibri"/>
          <w:i/>
          <w:color w:val="00539F"/>
          <w:sz w:val="20"/>
        </w:rPr>
        <w:t>Nota: Si el `expectedType` no existe en el registro de tipologías, el proceso termina en `ERROR` con `KeyNotFoundException`.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4.3 Fallback GPT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Cuando Azure DI no puede clasificar con suficiente confianza, el sistema activa automáticamente el </w:t>
      </w:r>
      <w:r>
        <w:rPr>
          <w:rFonts w:ascii="Calibri" w:hAnsi="Calibri"/>
          <w:b/>
          <w:i w:val="0"/>
          <w:color w:val="202020"/>
          <w:sz w:val="21"/>
        </w:rPr>
        <w:t>fallback GPT</w:t>
      </w:r>
      <w:r>
        <w:rPr>
          <w:rFonts w:ascii="Calibri" w:hAnsi="Calibri"/>
          <w:b w:val="0"/>
          <w:i w:val="0"/>
          <w:color w:val="202020"/>
          <w:sz w:val="21"/>
        </w:rPr>
        <w:t xml:space="preserve"> (modelo </w:t>
      </w:r>
      <w:r>
        <w:rPr>
          <w:rFonts w:ascii="Courier New" w:hAnsi="Courier New"/>
          <w:b w:val="0"/>
          <w:i w:val="0"/>
          <w:color w:val="6A002F"/>
          <w:sz w:val="18"/>
        </w:rPr>
        <w:t>gpt-4o-mini</w:t>
      </w:r>
      <w:r>
        <w:rPr>
          <w:rFonts w:ascii="Calibri" w:hAnsi="Calibri"/>
          <w:b w:val="0"/>
          <w:i w:val="0"/>
          <w:color w:val="202020"/>
          <w:sz w:val="21"/>
        </w:rPr>
        <w:t>).</w:t>
      </w:r>
    </w:p>
    <w:p>
      <w:pPr>
        <w:pStyle w:val="Heading4"/>
      </w:pPr>
      <w:r>
        <w:rPr>
          <w:rFonts w:ascii="Calibri" w:hAnsi="Calibri"/>
          <w:b w:val="0"/>
          <w:i w:val="0"/>
          <w:color w:val="0078D4"/>
          <w:sz w:val="18"/>
        </w:rPr>
        <w:t>Condiciones que activan el fallback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Condición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FallbackRazon</w:t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en el resultado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¿Fallback obligatorio?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DI devuelve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RESTO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resto_classification:{confianza}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Sí siempre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DI con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confianza &lt; umbral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low_confidence:{confianza}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Sí si &lt; umbral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Error/timeout de la API de DI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exception:{mensaje}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Sí si hay resultado DI parcial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Calibri" w:hAnsi="Calibri"/>
          <w:b w:val="0"/>
          <w:i w:val="0"/>
          <w:color w:val="0078D4"/>
          <w:sz w:val="18"/>
        </w:rPr>
        <w:t>Qué ocurre si el fallback también falla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Situación del fallback GPT</w:t>
            </w:r>
          </w:p>
        </w:tc>
        <w:tc>
          <w:tcPr>
            <w:tcW w:type="dxa" w:w="453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final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GPT devuelve tipología con confianza ≥ 0.3</w:t>
            </w:r>
          </w:p>
        </w:tc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[OK] Clasificado (con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FallbackLLM=true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)</w:t>
            </w:r>
          </w:p>
        </w:tc>
      </w:tr>
      <w:tr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GPT devuelve "Desconocido" o confianza &lt; 0.3 (RESTO)</w:t>
            </w:r>
          </w:p>
        </w:tc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[AVISO]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NO_CLASIFICADO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 (fin controlado)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GPT devuelve "Desconocido" pero DI tenía resultado &lt; umbral</w:t>
            </w:r>
          </w:p>
        </w:tc>
        <w:tc>
          <w:tcPr>
            <w:tcW w:type="dxa" w:w="453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El proceso mantiene el resultado DI (no termina en error)</w:t>
            </w:r>
          </w:p>
        </w:tc>
      </w:tr>
      <w:tr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GPT lanza excepción técnica</w:t>
            </w:r>
          </w:p>
        </w:tc>
        <w:tc>
          <w:tcPr>
            <w:tcW w:type="dxa" w:w="453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[NO]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ERROR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libri" w:hAnsi="Calibri"/>
          <w:b/>
          <w:color w:val="0078D4"/>
          <w:sz w:val="20"/>
        </w:rPr>
        <w:t>📊 Diagrama de flujo (representación textual):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flowchart TD</w:t>
      </w:r>
      <w:r>
        <w:br/>
      </w:r>
      <w:r>
        <w:rPr>
          <w:rFonts w:ascii="Courier New" w:hAnsi="Courier New"/>
          <w:color w:val="1E1E1E"/>
          <w:sz w:val="17"/>
        </w:rPr>
        <w:t xml:space="preserve">    F["Fallback GPT activo"]</w:t>
      </w:r>
      <w:r>
        <w:br/>
      </w:r>
      <w:r>
        <w:rPr>
          <w:rFonts w:ascii="Courier New" w:hAnsi="Courier New"/>
          <w:color w:val="1E1E1E"/>
          <w:sz w:val="17"/>
        </w:rPr>
        <w:t xml:space="preserve">    F --&gt; G{"Resultado GPT"}</w:t>
      </w:r>
      <w:r>
        <w:br/>
      </w:r>
      <w:r>
        <w:rPr>
          <w:rFonts w:ascii="Courier New" w:hAnsi="Courier New"/>
          <w:color w:val="1E1E1E"/>
          <w:sz w:val="17"/>
        </w:rPr>
        <w:t xml:space="preserve">    G --&gt;|"Tipología válida\nconfianza ≥ 0.3"| H["✅ FallbackLLM=true\nconfianza = confianza_GPT"]</w:t>
      </w:r>
      <w:r>
        <w:br/>
      </w:r>
      <w:r>
        <w:rPr>
          <w:rFonts w:ascii="Courier New" w:hAnsi="Courier New"/>
          <w:color w:val="1E1E1E"/>
          <w:sz w:val="17"/>
        </w:rPr>
        <w:t xml:space="preserve">    G --&gt;|"'Desconocido'\nconfianza &lt; 0.3\nEjemplo: RESTO original"| I["⚠️ NO_CLASIFICADO\nEstado controlado\nno es error técnico"]</w:t>
      </w:r>
      <w:r>
        <w:br/>
      </w:r>
      <w:r>
        <w:rPr>
          <w:rFonts w:ascii="Courier New" w:hAnsi="Courier New"/>
          <w:color w:val="1E1E1E"/>
          <w:sz w:val="17"/>
        </w:rPr>
        <w:t xml:space="preserve">    G --&gt;|"'Desconocido'\nDI tenía tipología\n(no era RESTO)"| J["⚡ Mantiene resultado DI\nFallbackAttemptFailed=true"]</w:t>
      </w:r>
      <w:r>
        <w:br/>
      </w:r>
      <w:r>
        <w:rPr>
          <w:rFonts w:ascii="Courier New" w:hAnsi="Courier New"/>
          <w:color w:val="1E1E1E"/>
          <w:sz w:val="17"/>
        </w:rPr>
        <w:t xml:space="preserve">    G --&gt;|"Excepción técnica\nAPI error, timeout"| K["❌ ERROR"]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 xml:space="preserve">    style H fill:#81C784,stroke:#2E7D32,color:#fff</w:t>
      </w:r>
      <w:r>
        <w:br/>
      </w:r>
      <w:r>
        <w:rPr>
          <w:rFonts w:ascii="Courier New" w:hAnsi="Courier New"/>
          <w:color w:val="1E1E1E"/>
          <w:sz w:val="17"/>
        </w:rPr>
        <w:t xml:space="preserve">    style I fill:#FFA726,stroke:#E65100,color:#fff</w:t>
      </w:r>
      <w:r>
        <w:br/>
      </w:r>
      <w:r>
        <w:rPr>
          <w:rFonts w:ascii="Courier New" w:hAnsi="Courier New"/>
          <w:color w:val="1E1E1E"/>
          <w:sz w:val="17"/>
        </w:rPr>
        <w:t xml:space="preserve">    style K fill:#EF9A9A,stroke:#C62828,color:#fff</w:t>
      </w:r>
    </w:p>
    <w:p>
      <w:pPr>
        <w:spacing w:after="120"/>
      </w:pPr>
      <w:r>
        <w:rPr>
          <w:i/>
          <w:color w:val="666666"/>
          <w:sz w:val="17"/>
        </w:rPr>
        <w:t>Nota: Para visualizar el diagrama interactivo, consulte el fichero Markdown en un editor compatible con Mermaid (VS Code, GitHub, Confluence).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4.4 Clasificación Mock (Desarrollo/Test)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En entornos de desarrollo, se puede usar el proveedor </w:t>
      </w:r>
      <w:r>
        <w:rPr>
          <w:rFonts w:ascii="Courier New" w:hAnsi="Courier New"/>
          <w:b w:val="0"/>
          <w:i w:val="0"/>
          <w:color w:val="6A002F"/>
          <w:sz w:val="18"/>
        </w:rPr>
        <w:t>mock</w:t>
      </w:r>
      <w:r>
        <w:rPr>
          <w:rFonts w:ascii="Calibri" w:hAnsi="Calibri"/>
          <w:b w:val="0"/>
          <w:i w:val="0"/>
          <w:color w:val="202020"/>
          <w:sz w:val="21"/>
        </w:rPr>
        <w:t xml:space="preserve"> que devuelve siempre una tipología predefinida sin llamar a ningún servicio externo.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"instrucciones": {</w:t>
      </w:r>
      <w:r>
        <w:br/>
      </w:r>
      <w:r>
        <w:rPr>
          <w:rFonts w:ascii="Courier New" w:hAnsi="Courier New"/>
          <w:color w:val="1E1E1E"/>
          <w:sz w:val="17"/>
        </w:rPr>
        <w:t xml:space="preserve">  "classification": {</w:t>
      </w:r>
      <w:r>
        <w:br/>
      </w:r>
      <w:r>
        <w:rPr>
          <w:rFonts w:ascii="Courier New" w:hAnsi="Courier New"/>
          <w:color w:val="1E1E1E"/>
          <w:sz w:val="17"/>
        </w:rPr>
        <w:t xml:space="preserve">    "provider": "mock",</w:t>
      </w:r>
      <w:r>
        <w:br/>
      </w:r>
      <w:r>
        <w:rPr>
          <w:rFonts w:ascii="Courier New" w:hAnsi="Courier New"/>
          <w:color w:val="1E1E1E"/>
          <w:sz w:val="17"/>
        </w:rPr>
        <w:t xml:space="preserve">    "model": "auto"</w:t>
      </w:r>
      <w:r>
        <w:br/>
      </w:r>
      <w:r>
        <w:rPr>
          <w:rFonts w:ascii="Courier New" w:hAnsi="Courier New"/>
          <w:color w:val="1E1E1E"/>
          <w:sz w:val="17"/>
        </w:rPr>
        <w:t xml:space="preserve">  }</w:t>
      </w:r>
      <w:r>
        <w:br/>
      </w:r>
      <w:r>
        <w:rPr>
          <w:rFonts w:ascii="Courier New" w:hAnsi="Courier New"/>
          <w:color w:val="1E1E1E"/>
          <w:sz w:val="17"/>
        </w:rPr>
        <w:t>}</w:t>
      </w:r>
    </w:p>
    <w:p>
      <w:pPr>
        <w:spacing w:before="80" w:after="80"/>
        <w:ind w:left="567" w:right="567"/>
        <w:shd w:val="clear" w:color="auto" w:fill="E8F1FA"/>
        <w:pBdr>
          <w:left w:val="single" w:sz="12" w:space="6" w:color="0078D4"/>
        </w:pBdr>
      </w:pPr>
      <w:r>
        <w:rPr>
          <w:rFonts w:ascii="Calibri" w:hAnsi="Calibri"/>
          <w:i/>
          <w:color w:val="00539F"/>
          <w:sz w:val="20"/>
        </w:rPr>
        <w:t>Útil para: tests unitarios, desarrollo local sin conectividad a Azure, validación de flujos de extracción sin depender de la clasificación.</w:t>
      </w:r>
    </w:p>
    <w:p>
      <w:pPr>
        <w:pStyle w:val="Heading2"/>
      </w:pPr>
      <w:r>
        <w:rPr>
          <w:rFonts w:ascii="Calibri" w:hAnsi="Calibri"/>
          <w:b w:val="0"/>
          <w:i w:val="0"/>
          <w:color w:val="00539F"/>
          <w:sz w:val="30"/>
        </w:rPr>
        <w:t>5. Tipologías Soportadas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5.1 Inventario completo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Familia</w:t>
            </w:r>
          </w:p>
        </w:tc>
        <w:tc>
          <w:tcPr>
            <w:tcW w:type="dxa" w:w="129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Versión activa</w:t>
            </w:r>
          </w:p>
        </w:tc>
        <w:tc>
          <w:tcPr>
            <w:tcW w:type="dxa" w:w="129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Clave técnica</w:t>
            </w:r>
          </w:p>
        </w:tc>
        <w:tc>
          <w:tcPr>
            <w:tcW w:type="dxa" w:w="129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GDC</w:t>
            </w:r>
          </w:p>
        </w:tc>
        <w:tc>
          <w:tcPr>
            <w:tcW w:type="dxa" w:w="129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Extracción</w:t>
            </w:r>
          </w:p>
        </w:tc>
        <w:tc>
          <w:tcPr>
            <w:tcW w:type="dxa" w:w="129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Prompt</w:t>
            </w:r>
          </w:p>
        </w:tc>
        <w:tc>
          <w:tcPr>
            <w:tcW w:type="dxa" w:w="1296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Skip GDC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nota-simple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1.4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 (default)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nota.simple.1_4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NOTS/NOTS01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Azure CU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gpt4o-mini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</w:tr>
      <w:tr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nota-simple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1.3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nota.simple.1_3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NOTS/NOTS01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Ninguna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nota-simple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1.2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nota.simple.1_2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NOTS/NOTS01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Ninguna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</w:tr>
      <w:tr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nota-simple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1.0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nota.simple.1_0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NOTS/NOTS01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Ninguna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tasacion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1.0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tasacion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Ninguna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Sí</w:t>
            </w:r>
          </w:p>
        </w:tc>
      </w:tr>
      <w:tr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resumen-documental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1.0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resumen.documental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—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Mock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vision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Sí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IBI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1.0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IBI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—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Azure CU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</w:t>
            </w:r>
          </w:p>
        </w:tc>
        <w:tc>
          <w:tcPr>
            <w:tcW w:type="dxa" w:w="1296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Sí</w:t>
            </w:r>
          </w:p>
        </w:tc>
      </w:tr>
      <w:tr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tdn.clasificacion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1.0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tdn.clasificacion.1_0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TDN/TDN00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Ninguna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[NO]</w:t>
            </w:r>
          </w:p>
        </w:tc>
        <w:tc>
          <w:tcPr>
            <w:tcW w:type="dxa" w:w="1296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02020"/>
                <w:sz w:val="19"/>
              </w:rPr>
              <w:t>Sí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5.2 Nota Simple (v1.4 — default)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Descripción:</w:t>
      </w:r>
      <w:r>
        <w:rPr>
          <w:rFonts w:ascii="Calibri" w:hAnsi="Calibri"/>
          <w:b w:val="0"/>
          <w:i w:val="0"/>
          <w:color w:val="202020"/>
          <w:sz w:val="21"/>
        </w:rPr>
        <w:t xml:space="preserve"> Nota simple registral española. Documento oficial del Registro de la Propiedad que certifica la situación jurídica de una finca: titular dominical, cargas, hipotecas, servidumbres y gravámenes.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Campos extraídos: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Obligatorio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Regla de validación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Severidad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FincaRegistral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minLength=1, maxLength=30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Error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RegistroPropiedad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minLength=3, maxLength=120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Error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MunicipioRegistro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maxLength=80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IDUFIR_CRU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regex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^[0-9]{14}$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Registrador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minLength=3, maxLength=120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Error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FechaDocumento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date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formatos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dd/MM/yyyy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/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yyyy-MM-dd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, no futura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Error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NumeroAsientoPresentacion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maxLength=40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Direccion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address (min=6, max=160, número+municipio+provincia)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ReferenciaCatastral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catastral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CodigoPostal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regex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^[0-9]{5}$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Provincia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maxLength=50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Municipio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—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Configuración de confianza: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"confidenceConfig": {</w:t>
      </w:r>
      <w:r>
        <w:br/>
      </w:r>
      <w:r>
        <w:rPr>
          <w:rFonts w:ascii="Courier New" w:hAnsi="Courier New"/>
          <w:color w:val="1E1E1E"/>
          <w:sz w:val="17"/>
        </w:rPr>
        <w:t xml:space="preserve">  "clasifUmbralFallback": 0.85,</w:t>
      </w:r>
      <w:r>
        <w:br/>
      </w:r>
      <w:r>
        <w:rPr>
          <w:rFonts w:ascii="Courier New" w:hAnsi="Courier New"/>
          <w:color w:val="1E1E1E"/>
          <w:sz w:val="17"/>
        </w:rPr>
        <w:t xml:space="preserve">  "extracUmbralFallback": 0.9,</w:t>
      </w:r>
      <w:r>
        <w:br/>
      </w:r>
      <w:r>
        <w:rPr>
          <w:rFonts w:ascii="Courier New" w:hAnsi="Courier New"/>
          <w:color w:val="1E1E1E"/>
          <w:sz w:val="17"/>
        </w:rPr>
        <w:t xml:space="preserve">  "extracWeightCampos": 0.5,</w:t>
      </w:r>
      <w:r>
        <w:br/>
      </w:r>
      <w:r>
        <w:rPr>
          <w:rFonts w:ascii="Courier New" w:hAnsi="Courier New"/>
          <w:color w:val="1E1E1E"/>
          <w:sz w:val="17"/>
        </w:rPr>
        <w:t xml:space="preserve">  "extracWeightRequeridos": 0.3,</w:t>
      </w:r>
      <w:r>
        <w:br/>
      </w:r>
      <w:r>
        <w:rPr>
          <w:rFonts w:ascii="Courier New" w:hAnsi="Courier New"/>
          <w:color w:val="1E1E1E"/>
          <w:sz w:val="17"/>
        </w:rPr>
        <w:t xml:space="preserve">  "extracWeightWarnings": 0.2,</w:t>
      </w:r>
      <w:r>
        <w:br/>
      </w:r>
      <w:r>
        <w:rPr>
          <w:rFonts w:ascii="Courier New" w:hAnsi="Courier New"/>
          <w:color w:val="1E1E1E"/>
          <w:sz w:val="17"/>
        </w:rPr>
        <w:t xml:space="preserve">  "umbralOK": 0.85,</w:t>
      </w:r>
      <w:r>
        <w:br/>
      </w:r>
      <w:r>
        <w:rPr>
          <w:rFonts w:ascii="Courier New" w:hAnsi="Courier New"/>
          <w:color w:val="1E1E1E"/>
          <w:sz w:val="17"/>
        </w:rPr>
        <w:t xml:space="preserve">  "umbralRevision": 0.70</w:t>
      </w:r>
      <w:r>
        <w:br/>
      </w:r>
      <w:r>
        <w:rPr>
          <w:rFonts w:ascii="Courier New" w:hAnsi="Courier New"/>
          <w:color w:val="1E1E1E"/>
          <w:sz w:val="17"/>
        </w:rPr>
        <w:t>}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Plugins activos (v1.4):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Plugin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URL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Propósito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refCatExcel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REST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http://localhost:8082/enriquecer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Enriquecimiento por referencia catastral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1 (crítico)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5.3 Tasación (v1.0)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Descripción:</w:t>
      </w:r>
      <w:r>
        <w:rPr>
          <w:rFonts w:ascii="Calibri" w:hAnsi="Calibri"/>
          <w:b w:val="0"/>
          <w:i w:val="0"/>
          <w:color w:val="202020"/>
          <w:sz w:val="21"/>
        </w:rPr>
        <w:t xml:space="preserve"> Informe de tasación inmobiliaria. Certifica el valor de mercado de un inmueble.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Campos extraídos: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Obligatorio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Regla</w:t>
            </w:r>
          </w:p>
        </w:tc>
        <w:tc>
          <w:tcPr>
            <w:tcW w:type="dxa" w:w="181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Severidad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ValorTasado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decimal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rango [1.000 – 2.000.000]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Error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FechaDocumento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date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formatos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dd/MM/yyyy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/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yyyy-MM-dd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, no futura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Error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Direccion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address (min=6, max=160)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—</w:t>
            </w:r>
          </w:p>
        </w:tc>
      </w:tr>
      <w:tr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NIF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nif</w:t>
            </w:r>
          </w:p>
        </w:tc>
        <w:tc>
          <w:tcPr>
            <w:tcW w:type="dxa" w:w="181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ReferenciaCatastral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catastral</w:t>
            </w:r>
          </w:p>
        </w:tc>
        <w:tc>
          <w:tcPr>
            <w:tcW w:type="dxa" w:w="181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Warning</w:t>
            </w:r>
          </w:p>
        </w:tc>
      </w:tr>
    </w:tbl>
    <w:p>
      <w:pPr>
        <w:spacing w:after="80"/>
      </w:pPr>
    </w:p>
    <w:p>
      <w:pPr>
        <w:spacing w:before="80" w:after="80"/>
        <w:ind w:left="567" w:right="567"/>
        <w:shd w:val="clear" w:color="auto" w:fill="E8F1FA"/>
        <w:pBdr>
          <w:left w:val="single" w:sz="12" w:space="6" w:color="0078D4"/>
        </w:pBdr>
      </w:pPr>
      <w:r>
        <w:rPr>
          <w:rFonts w:ascii="Calibri" w:hAnsi="Calibri"/>
          <w:i/>
          <w:color w:val="00539F"/>
          <w:sz w:val="20"/>
        </w:rPr>
        <w:t>La tasación no sube al GDC (`skipGDCUpload: true`) y no tiene extracción configurada en la versión actual (los datos se reciben directamente o se procesan en otro sistema).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5.4 Resumen Documental (v1.0)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Descripción:</w:t>
      </w:r>
      <w:r>
        <w:rPr>
          <w:rFonts w:ascii="Calibri" w:hAnsi="Calibri"/>
          <w:b w:val="0"/>
          <w:i w:val="0"/>
          <w:color w:val="202020"/>
          <w:sz w:val="21"/>
        </w:rPr>
        <w:t xml:space="preserve"> Tipología genérica para documentos de los que solo se quiere un resumen. No valida campos específicos.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202020"/>
          <w:sz w:val="21"/>
        </w:rPr>
        <w:t>No tiene campos de validación (array vacío).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202020"/>
          <w:sz w:val="21"/>
        </w:rPr>
        <w:t xml:space="preserve">Extracción: </w:t>
      </w:r>
      <w:r>
        <w:rPr>
          <w:rFonts w:ascii="Courier New" w:hAnsi="Courier New"/>
          <w:b w:val="0"/>
          <w:i w:val="0"/>
          <w:color w:val="6A002F"/>
          <w:sz w:val="18"/>
        </w:rPr>
        <w:t>disabled</w:t>
      </w:r>
      <w:r>
        <w:rPr>
          <w:rFonts w:ascii="Calibri" w:hAnsi="Calibri"/>
          <w:b w:val="0"/>
          <w:i w:val="0"/>
          <w:color w:val="202020"/>
          <w:sz w:val="21"/>
        </w:rPr>
        <w:t xml:space="preserve"> (provider mock).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202020"/>
          <w:sz w:val="21"/>
        </w:rPr>
        <w:t xml:space="preserve">Prompt activado con modo </w:t>
      </w:r>
      <w:r>
        <w:rPr>
          <w:rFonts w:ascii="Courier New" w:hAnsi="Courier New"/>
          <w:b w:val="0"/>
          <w:i w:val="0"/>
          <w:color w:val="6A002F"/>
          <w:sz w:val="18"/>
        </w:rPr>
        <w:t>vision</w:t>
      </w:r>
      <w:r>
        <w:rPr>
          <w:rFonts w:ascii="Calibri" w:hAnsi="Calibri"/>
          <w:b w:val="0"/>
          <w:i w:val="0"/>
          <w:color w:val="202020"/>
          <w:sz w:val="21"/>
        </w:rPr>
        <w:t xml:space="preserve"> (envía imagen del documento al LLM).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202020"/>
          <w:sz w:val="21"/>
        </w:rPr>
        <w:t>No sube al GDC.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5.5 IBI (v1.0 — DB-backed)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Descripción:</w:t>
      </w:r>
      <w:r>
        <w:rPr>
          <w:rFonts w:ascii="Calibri" w:hAnsi="Calibri"/>
          <w:b w:val="0"/>
          <w:i w:val="0"/>
          <w:color w:val="202020"/>
          <w:sz w:val="21"/>
        </w:rPr>
        <w:t xml:space="preserve"> Recibo del Impuesto sobre Bienes Inmuebles emitido por el ayuntamiento.</w:t>
      </w:r>
    </w:p>
    <w:p>
      <w:pPr>
        <w:spacing w:before="80" w:after="80"/>
        <w:ind w:left="567" w:right="567"/>
        <w:shd w:val="clear" w:color="auto" w:fill="E8F1FA"/>
        <w:pBdr>
          <w:left w:val="single" w:sz="12" w:space="6" w:color="0078D4"/>
        </w:pBdr>
      </w:pPr>
      <w:r>
        <w:rPr>
          <w:rFonts w:ascii="Calibri" w:hAnsi="Calibri"/>
          <w:i/>
          <w:color w:val="00539F"/>
          <w:sz w:val="20"/>
        </w:rPr>
        <w:t>Esta tipología está almacenada en base de datos, no en ficheros JSON en disco. Usa `extraction.provider = "azure-openai"` → extracción directa con GPT.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Campos extraídos: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2268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Obligatorio</w:t>
            </w:r>
          </w:p>
        </w:tc>
        <w:tc>
          <w:tcPr>
            <w:tcW w:type="dxa" w:w="2268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2268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Regla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FechaDocumento</w:t>
            </w:r>
          </w:p>
        </w:tc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[OK] Sí</w:t>
            </w:r>
          </w:p>
        </w:tc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date</w:t>
            </w:r>
          </w:p>
        </w:tc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formatos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dd/MM/yyyy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/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yyyy-MM-dd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, no futura</w:t>
            </w:r>
          </w:p>
        </w:tc>
      </w:tr>
      <w:tr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Direccion</w:t>
            </w:r>
          </w:p>
        </w:tc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address (min=6, max=160)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NIF</w:t>
            </w:r>
          </w:p>
        </w:tc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2268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nif</w:t>
            </w:r>
          </w:p>
        </w:tc>
      </w:tr>
      <w:tr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ReferenciaCatastral</w:t>
            </w:r>
          </w:p>
        </w:tc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No</w:t>
            </w:r>
          </w:p>
        </w:tc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string</w:t>
            </w:r>
          </w:p>
        </w:tc>
        <w:tc>
          <w:tcPr>
            <w:tcW w:type="dxa" w:w="2268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catastral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5.6 TDN Clasificación (v1.0)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Descripción:</w:t>
      </w:r>
      <w:r>
        <w:rPr>
          <w:rFonts w:ascii="Calibri" w:hAnsi="Calibri"/>
          <w:b w:val="0"/>
          <w:i w:val="0"/>
          <w:color w:val="202020"/>
          <w:sz w:val="21"/>
        </w:rPr>
        <w:t xml:space="preserve"> Clasificación jerárquica de documentos jurídicos e inmobiliarios. Organiza documentos en tres niveles: TDN1 → TDN2 → Matrícula.</w:t>
      </w: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Familias TDN1 soportadas: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Código TDN1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Nombre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Ejemplos de subtipo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DOCN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Documentos notariales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cambio-titularidad-sareb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ESCR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Escrituras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compraventa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dacion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cancelacion-hipotecaria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prestamo-originario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SERE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Sentencias y resoluciones judiciales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subasta-adjudicacion-auto</w:t>
            </w: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 xml:space="preserve">, </w:t>
            </w: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subasta-cancelacion-cargas</w:t>
            </w:r>
          </w:p>
        </w:tc>
      </w:tr>
    </w:tbl>
    <w:p>
      <w:pPr>
        <w:spacing w:after="80"/>
      </w:pP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Sin extracción</w:t>
      </w:r>
      <w:r>
        <w:rPr>
          <w:rFonts w:ascii="Calibri" w:hAnsi="Calibri"/>
          <w:b w:val="0"/>
          <w:i w:val="0"/>
          <w:color w:val="202020"/>
          <w:sz w:val="21"/>
        </w:rPr>
        <w:t xml:space="preserve"> de campos (solo clasificación jerárquica).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Sin prompt</w:t>
      </w:r>
      <w:r>
        <w:rPr>
          <w:rFonts w:ascii="Calibri" w:hAnsi="Calibri"/>
          <w:b w:val="0"/>
          <w:i w:val="0"/>
          <w:color w:val="202020"/>
          <w:sz w:val="21"/>
        </w:rPr>
        <w:t>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202020"/>
          <w:sz w:val="21"/>
        </w:rPr>
        <w:t>No sube al GDC</w:t>
      </w:r>
      <w:r>
        <w:rPr>
          <w:rFonts w:ascii="Calibri" w:hAnsi="Calibri"/>
          <w:b w:val="0"/>
          <w:i w:val="0"/>
          <w:color w:val="202020"/>
          <w:sz w:val="21"/>
        </w:rPr>
        <w:t xml:space="preserve"> (</w:t>
      </w:r>
      <w:r>
        <w:rPr>
          <w:rFonts w:ascii="Courier New" w:hAnsi="Courier New"/>
          <w:b w:val="0"/>
          <w:i w:val="0"/>
          <w:color w:val="6A002F"/>
          <w:sz w:val="18"/>
        </w:rPr>
        <w:t>skipGDCUpload: true</w:t>
      </w:r>
      <w:r>
        <w:rPr>
          <w:rFonts w:ascii="Calibri" w:hAnsi="Calibri"/>
          <w:b w:val="0"/>
          <w:i w:val="0"/>
          <w:color w:val="202020"/>
          <w:sz w:val="21"/>
        </w:rPr>
        <w:t>).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202020"/>
          <w:sz w:val="21"/>
        </w:rPr>
        <w:t>Policy de clasificación avanzada con control de páginas y umbrales por ambigüedad.</w:t>
      </w:r>
    </w:p>
    <w:p>
      <w:pPr>
        <w:pStyle w:val="Heading2"/>
      </w:pPr>
      <w:r>
        <w:rPr>
          <w:rFonts w:ascii="Calibri" w:hAnsi="Calibri"/>
          <w:b w:val="0"/>
          <w:i w:val="0"/>
          <w:color w:val="00539F"/>
          <w:sz w:val="30"/>
        </w:rPr>
        <w:t>6. Sistema de Confianza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6.1 Cálculo de la confianza global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02020"/>
          <w:sz w:val="21"/>
        </w:rPr>
        <w:t xml:space="preserve">La confianza global es el </w:t>
      </w:r>
      <w:r>
        <w:rPr>
          <w:rFonts w:ascii="Calibri" w:hAnsi="Calibri"/>
          <w:b/>
          <w:i w:val="0"/>
          <w:color w:val="202020"/>
          <w:sz w:val="21"/>
        </w:rPr>
        <w:t>mínimo de las tres etapas</w:t>
      </w:r>
      <w:r>
        <w:rPr>
          <w:rFonts w:ascii="Calibri" w:hAnsi="Calibri"/>
          <w:b w:val="0"/>
          <w:i w:val="0"/>
          <w:color w:val="202020"/>
          <w:sz w:val="21"/>
        </w:rPr>
        <w:t>:</w:t>
      </w:r>
    </w:p>
    <w:p>
      <w:pPr>
        <w:ind w:left="567"/>
      </w:pPr>
      <w:r>
        <w:rPr>
          <w:rFonts w:ascii="Cambria Math" w:hAnsi="Cambria Math"/>
          <w:i/>
          <w:color w:val="00539F"/>
          <w:sz w:val="20"/>
        </w:rPr>
        <w:t>[Fórmula:  &gt; Si la extracción está deshabilitada para la tipología, se omite del cálculo.  ```mermaid flowchart LR C["Confianza\nClasificación\n(ej: 0.92)"] --&gt; G E["Confianza\nExtracción\n(ej: 0.88)"] --&gt; G V["Confianza\nValidación\n(ej: 0.95)"] --&gt; G G["ConfianzaGlobal\n= MIN(0.92, 0.88, 0.95)\n= 0.88"] G --&gt; S["EstadoCalidad\n= OK (≥ 0.85)"]  style S fill:#81C784,stroke:#2E7D32,color:#fff ```  ### 6.2 Umbrales de calidad  | Estado | Rango de confianza | Color semáforo | Descripción | |---|---|---|---| | **OK** | ≥ 0.85 | 🟢 | Procesamiento automático sin revisión humana | | **REVISION** | 0.70 – 0.84 | 🟡 | Revisión humana recomendada | | **ERROR** | &lt; 0.70 | 🔴 | Alta probabilidad de dato incorrecto |  ### 6.3 Fórmula de confianza de clasificación  ``` Si se usó fallback GPT: confianza = CLAMP(confianza_GPT ?? confianza_DI ?? 0.5, 0, 1)  Si no se usó fallback: confianza = CLAMP(confianza_DI ?? 0.0, 0, 1) ```  ### 6.4 Fórmula de confianza de extracción (Azure CU)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3024"/>
            <w:vAlign w:val="center"/>
            <w:shd w:val="clear" w:color="auto" w:fill="00539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Peso default (nota-simple 1.4)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AvgConf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Promedio de confianza individual de campos según CU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w_campos = 0.50</w:t>
            </w:r>
          </w:p>
        </w:tc>
      </w:tr>
      <w:tr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RatioRequeridos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Campos obligatorios presentes / total obligatorios</w:t>
            </w:r>
          </w:p>
        </w:tc>
        <w:tc>
          <w:tcPr>
            <w:tcW w:type="dxa" w:w="3024"/>
            <w:vAlign w:val="center"/>
            <w:shd w:val="clear" w:color="auto" w:fill="E8F1F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w_req = 0.30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1 - RatioWarnings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202020"/>
                <w:sz w:val="19"/>
              </w:rPr>
              <w:t>Penalización por warnings de validación</w:t>
            </w:r>
          </w:p>
        </w:tc>
        <w:tc>
          <w:tcPr>
            <w:tcW w:type="dxa" w:w="3024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6A002F"/>
                <w:sz w:val="19"/>
              </w:rPr>
              <w:t>w_warn = 0.20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/>
          <w:i w:val="0"/>
          <w:color w:val="202020"/>
          <w:sz w:val="21"/>
        </w:rPr>
        <w:t>Ejemplo de cálculo:</w:t>
      </w:r>
    </w:p>
    <w:p>
      <w:pPr>
        <w:spacing w:before="80" w:after="80"/>
        <w:ind w:left="454"/>
        <w:shd w:val="clear" w:color="auto" w:fill="F3F3F3"/>
        <w:pBdr>
          <w:left w:val="single" w:sz="12" w:space="6" w:color="005A9E"/>
        </w:pBdr>
      </w:pPr>
      <w:r>
        <w:rPr>
          <w:rFonts w:ascii="Courier New" w:hAnsi="Courier New"/>
          <w:color w:val="1E1E1E"/>
          <w:sz w:val="17"/>
        </w:rPr>
        <w:t>AvgConf = 0.90 (Azure CU informa 90% confianza media)</w:t>
      </w:r>
      <w:r>
        <w:br/>
      </w:r>
      <w:r>
        <w:rPr>
          <w:rFonts w:ascii="Courier New" w:hAnsi="Courier New"/>
          <w:color w:val="1E1E1E"/>
          <w:sz w:val="17"/>
        </w:rPr>
        <w:t>RatioRequeridos = 1.0 (todos los campos obligatorios presentes)</w:t>
      </w:r>
      <w:r>
        <w:br/>
      </w:r>
      <w:r>
        <w:rPr>
          <w:rFonts w:ascii="Courier New" w:hAnsi="Courier New"/>
          <w:color w:val="1E1E1E"/>
          <w:sz w:val="17"/>
        </w:rPr>
        <w:t>RatioWarnings = 0.10 (10% de campos con warning)</w:t>
      </w:r>
      <w:r>
        <w:br/>
      </w:r>
      <w:r>
        <w:rPr>
          <w:rFonts w:ascii="Courier New" w:hAnsi="Courier New"/>
          <w:color w:val="1E1E1E"/>
          <w:sz w:val="17"/>
        </w:rPr>
      </w:r>
      <w:r>
        <w:br/>
      </w:r>
      <w:r>
        <w:rPr>
          <w:rFonts w:ascii="Courier New" w:hAnsi="Courier New"/>
          <w:color w:val="1E1E1E"/>
          <w:sz w:val="17"/>
        </w:rPr>
        <w:t>ConfianzaExtrac = 0.50×0.90 + 0.30×1.0 + 0.20×(1-0.10)</w:t>
      </w:r>
      <w:r>
        <w:br/>
      </w:r>
      <w:r>
        <w:rPr>
          <w:rFonts w:ascii="Courier New" w:hAnsi="Courier New"/>
          <w:color w:val="1E1E1E"/>
          <w:sz w:val="17"/>
        </w:rPr>
        <w:t xml:space="preserve">               = 0.45 + 0.30 + 0.18</w:t>
      </w:r>
      <w:r>
        <w:br/>
      </w:r>
      <w:r>
        <w:rPr>
          <w:rFonts w:ascii="Courier New" w:hAnsi="Courier New"/>
          <w:color w:val="1E1E1E"/>
          <w:sz w:val="17"/>
        </w:rPr>
        <w:t xml:space="preserve">               = 0.93</w:t>
      </w:r>
    </w:p>
    <w:p>
      <w:pPr>
        <w:pStyle w:val="Heading3"/>
      </w:pPr>
      <w:r>
        <w:rPr>
          <w:rFonts w:ascii="Calibri" w:hAnsi="Calibri"/>
          <w:b w:val="0"/>
          <w:i w:val="0"/>
          <w:color w:val="0078D4"/>
          <w:sz w:val="24"/>
        </w:rPr>
        <w:t>6.5 Fórmula de confianza de validación</w:t>
      </w:r>
    </w:p>
    <w:p>
      <w:pPr>
        <w:ind w:left="567"/>
      </w:pPr>
      <w:r>
        <w:rPr>
          <w:rFonts w:ascii="Cambria Math" w:hAnsi="Cambria Math"/>
          <w:i/>
          <w:color w:val="00539F"/>
          <w:sz w:val="20"/>
        </w:rPr>
        <w:t>[Fórmula:  ``` Ejemplo: 2 errores sobre 10 reglas requeridas ConfianzaValidación = 1 - (2/10) = 0.80  → EstadoCalidad: REVISION ```  ---  ## 7. Configuración de Clasificación  ### 7.1 Jerarquía de configuración  La configuración se aplica en orden de prioridad descendente:  ``` Petición HTTP (instrucciones) ↓ Si no informado Configuración de tipología (validation.json) ↓ Si no informado Configuración global del servidor (appsettings.json) ↓ Si no informado Valores por defecto del sistema ```  ### 7.2 Parámetros configurables por petición  ```json { "instrucciones": { "expectedType": "nota-simple",           // Forzar tipología (omite clasificación IA) "skipDuplicateCheck": false,             // Omitir verificación de duplicados "forceReprocess": false,                 // Forzar reproceso aunque sea duplicado "skipGDCUpload": null,                   // null=respetar config tipología, true/false=forzar "classification": { "provider": "auto",                    // auto|azure-document-intelligence|mock "model": "auto",                       // auto (usar modelo default configurado) "umbral": 0.85                         // Umbral fallback (0.0–1.0) }, "extraction": { "provider": "auto",                    // auto|azure-content-understanding|azure-openai|mock "model": "auto",                       // Clave del modelo en extraction-models.json "umbral": 0.80                         // Umbral mínimo de campos para aceptar extracción }, "prompt": { "systemPrompt": "Eres un experto...",  // Override del system prompt de la tipología "userPromptTemplate": "Resumen: {{CONTENT}}", "modelKey": "default.gpt4o-mini", "temperature": 0.0,                    // 0.0–2.0 "maxTokens": 1200,                     // 100–4000 "contentMode": "markdown"             // markdown|vision } } } ```  ### 7.3 Estructura de un fichero de validación de tipología  ```json // config/tipologias/&lt;familia&gt;.&lt;version&gt;.validation.json { "tipologiaId": "nota-simple", "tipologiaNombre": "Nota Simple", "version": "1.4", "isDefault": true, "skipGDCUpload": false, "gptDescripcion": "Nota simple registral española...",  // Configuración de extracción IA "extraction": { "enabled": true, "provider": "azure-content-understanding", "modelKey": "nota.simple.1_4.azure-cu", "autoMapUnmappedFields": true, "fieldMappings": [] },  // Configuración de prompt/resumen "promptConfig": { "enabled": true, "modelKey": "default.gpt4o-mini", "systemPrompt": "Eres un analista documental...", "userPromptTemplate": "Genera un resumen ejecutivo...\n\nContenido:\n{contenido}", "maxTokens": 1600, "temperature": 0, "contentMode": "markdown" },  // Umbrales de confianza "confidenceConfig": { "clasifUmbralFallback": 0.85, "extracUmbralFallback": 0.9, "extracWeightCampos": 0.5, "extracWeightRequeridos": 0.3, "extracWeightWarnings": 0.2, "umbralOK": 0.85, "umbralRevision": 0.70 },  // Campos a validar tras la extracción "fields": [ { "name": "FincaRegistral", "type": "string", "required": true, "rules": [ { "ruleType": "minLength", "severity": "Error", "parameters": { "value": 1 } }, { "ruleType": "maxLength", "severity": "Error", "parameters": { "value": 30 } } ] } // ... más campos ] } ```  ### 7.4 Estructura de un fichero de plugins  ```json // config/tipologias/&lt;familia&gt;.&lt;version&gt;.plugins.json { "tipologiaId": "nota-simple", "plugins": [ { "pluginKey": "refCatExcel", "pluginType": "rest",             // rest|soap|custom "enabled": true, "priority": 1,                    // 1 = crítico (fallo termina proceso) "returnsIdActivo": true,          // ¿El plugin devuelve idActivo? "configuration": { "baseUrl": "http://localhost:8082", "endpoint": "/enriquecer", "method": "POST", "authType": "None" } } ] } ```  &gt; **Prioridad de plugin:** Si el plugin con `priority=1` falla, el proceso termina en `ERROR` sin llegar a `PersistirActivity`. Plugins con prioridad &gt; 1 son no críticos.  ### 7.5 Tipos de reglas de validación disponibles  | Tipo de regla | Descripción | Ejemplo de parámetros | |---|---|---| | `minLength` | Longitud mínima del texto | `{ "value": 1 }` | | `maxLength` | Longitud máxima del texto | `{ "value": 120 }` | | `date` | Validación de fecha | `{ "formats": ["dd/MM/yyyy"], "allowFuture": false }` | | `regex` | Expresión regular | `{ "pattern": "^[0-9]{14}$" }` | | `range` | Rango numérico | `{ "min": 1000, "max": 2000000 }` | | `nif` | Validación de NIF/NIE/CIF español | _(sin parámetros adicionales)_ | | `catastral` | Validación de referencia catastral | _(sin parámetros adicionales)_ | | `address` | Validación de dirección postal | `{ "minLength": 6, "maxLength": 160, "requireStreetNumber": true }` |  ---  ## 8. Referencia de la API  ### 8.1 Endpoint principal  ``` POST /api/IngestDocument Content-Type: application/json x-functions-key: &lt;function-key&gt;    (producción) ```  **URL base:** - Local: `http://localhost:7071` - Azure: `https://srbappprodocai.azurewebsites.net`  ### 8.2 Estructura completa de la petición  ```json { "instrucciones": { "expectedType": "string | null", "skipDuplicateCheck": false, "forceReprocess": false, "skipGDCUpload": null, "classification": { "provider": "auto", "model": "auto", "umbral": 0.85 }, "extraction": { "provider": "auto", "model": "auto", "umbral": 0.80 }, "prompt": { "systemPrompt": "string | null", "userPromptTemplate": "string | null", "modelKey": "string | null", "temperature": 0.0, "maxTokens": 1200, "contentMode": "markdown | vision" }, "assetResolver": { "enabled": null, "camposBusqueda": { "idufir": "string | null", "referenciaCatastral": "string | null" }, "camposSolicitados": ["ID_ACTIVO_SAREB"] } }, "documento": { "name": "mi_documento.pdf", "objectIdGDC": null, "content": { "base64": "&lt;PDF_EN_BASE64&gt;" } }, "trazabilidad": { "correlationId": "uuid-o-string-personalizado", "submittedBy": "sistema-origen", "idActivo": "ID_ACTIVO_OPCIONAL" } } ```  &gt; **Regla importante:** `documento.objectIdGDC` y `documento.content.base64` son mutuamente excluyentes. Debes usar uno u otro.  ### 8.3 Respuesta del endpoint (202 Accepted)  ```json { "instanceId": "abc123def456ghi789", "statusQueryUri": "https://host/runtime/webhooks/durabletask/instances/abc123def456ghi789", "correlationId": "mi-correlation-id" } ```  ### 8.4 Estructura del resultado final (Completed)  ```json { "runtimeStatus": "Completed", "output": { "identificacion": { "documento": "nota_simple_123.pdf", "guid": "xxxxxxxx-xxxx-xxxx-xxxx-xxxxxxxxxxxx", "tipologia": "nota.simple.1_4", "tipologiaFamilia": "nota-simple", "tipologiaVersion": "1.4", "fechaProceso": "2026-05-19T10:00:10Z", "paginas": 5 }, "integridad": { "crc32": "a1b2c3d4", "sha256": "abcdef0123456789...", "md5": "fedcba9876543210...", "rutaBlobStorage": "documents/nota_simple_123.pdf", "gestorDocumental": "GDC", "idActivo": "ACTIVO-001", "idActivoEntrada": null, "idActivoCambiado": false }, "datosExtraidos": { "FincaRegistral": "12345", "RegistroPropiedad": "REGISTRO DE LA PROPIEDAD DE CHIVA 1", "FechaDocumento": "2026-01-15", "IDUFIR_CRU": "12345678901234", "Direccion": "Calle Mayor 1, 46370 Chiva, Valencia", "ReferenciaCatastral": "1234567AB0000A0001ZZ", "CodigoPostal": "46370", "Provincia": "Valencia", "Municipio": "Chiva", "PromptResult": "1) Objetivo: certifica situación jurídica de finca...\n2) Datos clave: ..." }, "resultado": { "estado": "OK", "mensajeError": null, "confianzaGlobal": 0.92, "estadoCalidad": "OK", "confianzaClasificacion": 0.95, "confianzaExtraccion": 0.91, "confianzaValidacion": 0.92, "reutilizadaPorDuplicado": false }, "detalleEjecucion": { "instanceId": "abc123def456...", "clasificacion": { "tipologiaDetectada": "nota.simple.1_4", "clasificador": "DocumentAICC_v0", "confianza": 0.95, "fallbackLLM": false, "fallbackRazon": null, "pagesProcessed": 3 }, "extraccion": { "proveedor": "azure-content-understanding", "camposExtraidos": 10, "camposTotales": 12, "metricas": { "promedioConfianza": 0.93, "ratioRequeridos": 1.0 } }, "validacion": { "errores": 0, "warnings": 2, "totalReglas": 12 } } } } ```  ### 8.5 Estados posibles del campo `resultado.estado`  | Estado | Descripción | |---|---| | `OK` | Procesamiento completado correctamente | | `VALIDACION_CON_ERRORES` | Completado pero con errores de validación de campos | | `ERROR` | Error técnico en alguna actividad del pipeline | | `DUPLICADO` | Documento ya procesado; se reutiliza el resultado anterior | | `NO_CLASIFICADO` | No se pudo identificar el tipo de documento |  ---  ## 9. Ejemplos Prácticos Completos  ### Ejemplo 1: Flujo mínimo — Clasificación automática  El caso más simple: enviar un documento sin configuración adicional para que el sistema lo clasifique y procese automáticamente.  ```powershell # PowerShell — Flujo mínimo $pdf = [IO.File]::ReadAllBytes("C:\docs\nota_simple.pdf") $b64 = [Convert]::ToBase64String($pdf)  $body = @{ documento = @{ name = "nota_simple.pdf" content = @{ base64 = $b64 } } trazabilidad = @{ correlationId = [guid]::NewGuid().ToString() submittedBy = "mi-sistema" } } | ConvertTo-Json -Depth 5  $r = Invoke-RestMethod -Method POST ` -Uri "http://localhost:7071/api/IngestDocument" ` -ContentType "application/json" ` -Body $body  Write-Host "InstanceId: $($r.instanceId)" ```  ```bash # curl — Flujo mínimo BASE64=$(base64 -w0 nota_simple.pdf) curl -X POST http://localhost:7071/api/IngestDocument \ -H "Content-Type: application/json" \ -d "{ \"documento\": { \"name\": \"nota_simple.pdf\", \"content\": { \"base64\": \"$BASE64\" } }, \"trazabilidad\": { \"correlationId\": \"$(uuidgen)\", \"submittedBy\": \"mi-sistema\" } }" ```  ---  ### Ejemplo 2: Clasificación forzada por tipo conocido  Cuando el sistema origen ya sabe qué tipo de documento es:  ```json { "instrucciones": { "expectedType": "nota-simple", "skipDuplicateCheck": false }, "documento": { "name": "NS_30000876.pdf", "content": { "base64": "&lt;BASE64&gt;" } }, "trazabilidad": { "correlationId": "BATCH-2026-0519-001", "submittedBy": "sistema-batch", "idActivo": "354937" } } ```  **Resultado esperado:** ```json { "resultado": { "estado": "OK", "confianzaClasificacion": 1.0 }, "detalleEjecucion": { "clasificacion": { "clasificador": "expectedtype-input", "fallbackLLM": false, "confianza": 1.0 } } } ```  ---  ### Ejemplo 3: Clasificación automática con umbral bajo (modo permisivo)  Para documentos donde se acepta clasificar aunque la confianza de DI sea baja:  ```json { "instrucciones": { "skipDuplicateCheck": true, "forceReprocess": true, "classification": { "provider": "auto", "model": "auto", "umbral": 0.50 } }, "documento": { "name": "documento_dudoso.pdf", "content": { "base64": "&lt;BASE64&gt;" } }, "trazabilidad": { "correlationId": "TEST-LOW-CONF-001", "submittedBy": "validacion.calidad" } } ```  ---  ### Ejemplo 4: Clasificación con fallback GPT explícito  Cuando se quiere forzar siempre el fallback a GPT (útil para tipos difíciles o documentos escaneados):  ```json { "instrucciones": { "classification": { "provider": "auto", "model": "auto", "umbral": 1.0 } }, "documento": { "name": "documento_escaneado.pdf", "content": { "base64": "&lt;BASE64&gt;" } }, "trazabilidad": { "correlationId": "FORCE-GPT-001", "submittedBy": "qa-team" } } ```  &gt; Al establecer `umbral=1.0`, ningún resultado de Azure DI superará el umbral (DI max = 1.0 en teoría, pero rara vez lo alcanza), forzando el fallback GPT.  ---  ### Ejemplo 5: Clasificación con versión específica de tipología  ```json { "instrucciones": { "expectedType": "nota-simple@1.3" }, "documento": { "name": "nota_simple_legacy.pdf", "content": { "base64": "&lt;BASE64&gt;" } }, "trazabilidad": { "correlationId": "LEGACY-1.3-001", "submittedBy": "sistema-legacy" } } ```  ---  ### Ejemplo 6: Solo clasificación (sin extracción ni validación)  Para enrutamiento de documentos o pre-clasificación masiva:  ```json { "instrucciones": { "skipDuplicateCheck": true, "classification": { "provider": "auto", "umbral": 0.50 }, "extraction": { "provider": "mock" }, "skipGDCUpload": true }, "documento": { "name": "doc_sin_procesar.pdf", "content": { "base64": "&lt;BASE64&gt;" } }, "trazabilidad": { "correlationId": "CLASSIFY-ONLY-2026-001", "submittedBy": "router.documentos" } } ```  ---  ### Ejemplo 7: Con prompt ad-hoc personalizado  Ejecutar un prompt propio sin necesitar configurar la tipología:  ```json { "instrucciones": { "expectedType": "nota-simple", "prompt": { "systemPrompt": "Eres un experto en documentos inmobiliarios españoles. Responde en español, sin inventar datos.", "userPromptTemplate": "Del siguiente documento, extrae en formato JSON los campos: NIF del titular, nombre completo del titular, y fecha de expedición.\n\nDocumento:\n{{CONTENT}}", "modelKey": "default.gpt4o-mini", "temperature": 0.0, "maxTokens": 500, "contentMode": "markdown" } }, "documento": { "name": "nota_simple_consulta.pdf", "content": { "base64": "&lt;BASE64&gt;" } }, "trazabilidad": { "correlationId": "PROMPT-ADHOC-001", "submittedBy": "analista.juridico" } } ```  **El resultado en `datosExtraidos["PromptResult"]`:** ``` { "NIF": "12345678A", "NombreTitular": "Juan García Martínez", "FechaExpedicion": "15/01/2026" } ```  ---  ### Ejemplo 8: Documento ya archivado en GDC (por objectId)  Procesar un documento que ya existe en el Gestor Documental sin necesidad de enviarlo en base64:  ```json { "instrucciones": { "expectedType": "nota-simple" }, "documento": { "name": "nota_simple_ya_archivada.pdf", "objectIdGDC": "GDC-OBJ-ID-12345678" }, "trazabilidad": { "correlationId": "GDC-EXISTING-001", "submittedBy": "sistema-gestion-activos", "idActivo": "ACT-98765" } } ```  &gt; Cuando se usa `objectIdGDC`, el sistema automáticamente establece `skipGDCUpload = true` (no se vuelve a subir al GDC).  ---  ### Ejemplo 9: Reprocesar un duplicado  Si el documento ya fue procesado pero necesitas forzar un nuevo procesamiento:  ```json { "instrucciones": { "skipDuplicateCheck": false, "forceReprocess": true }, "documento": { "name": "nota_simple_actualizada.pdf", "content": { "base64": "&lt;MISMO_BASE64_QUE_ANTES&gt;" } }, "trazabilidad": { "correlationId": "REPROCESS-001", "submittedBy": "admin.sistema" } } ```  ---  ### Ejemplo 10: Con AssetResolver para enriquecer datos de activo  Buscar el activo por IDUFIR o referencia catastral:  ```json { "instrucciones": { "expectedType": "nota-simple", "assetResolver": { "enabled": true, "camposBusqueda": { "idufir": "12345678901234" }, "camposSolicitados": ["ID_ACTIVO_SAREB", "DESCRIPCION_ACTIVO"] } }, "documento": { "name": "nota_simple_busqueda.pdf", "content": { "base64": "&lt;BASE64&gt;" } }, "trazabilidad": { "correlationId": "ASSET-RESOLVER-001", "submittedBy": "sistema-activos" } } ```  ---  ### Ejemplo 11: Procesamiento en lote (script PowerShell)  Clasificar todos los PDFs de una carpeta:  ```powershell # Clasificación masiva de documentos param( [string]$InputFolder = "C:\docs\pendientes", [string]$Endpoint = "http://localhost:7071/api/IngestDocument" )  $pdfs = Get-ChildItem -Path $InputFolder -Filter "*.pdf" $resultados = @()  foreach ($pdf in $pdfs) { Write-Host "Procesando: $($pdf.Name)" -ForegroundColor Cyan  $bytes = [IO.File]::ReadAllBytes($pdf.FullName) $b64 = [Convert]::ToBase64String($bytes)  $body = @{ instrucciones = @{ skipDuplicateCheck = $false classification = @{ provider = "auto"; umbral = 0.85 } } documento = @{ name = $pdf.Name content = @{ base64 = $b64 } } trazabilidad = @{ correlationId = "BATCH-$($pdf.BaseName)-$(Get-Date -Format 'yyyyMMddHHmmss')" submittedBy = "proceso.lote" } } | ConvertTo-Json -Depth 10  try { $resp = Invoke-RestMethod -Method POST -Uri $Endpoint ` -ContentType "application/json" -Body $body  # Esperar resultado (polling) $maxRetries = 60; $retry = 0 do { Start-Sleep -Seconds 2 $status = Invoke-RestMethod -Method GET -Uri $resp.statusQueryUri $retry++ } while ($status.runtimeStatus -eq "Running" -and $retry -lt $maxRetries)  $resultado = [PSCustomObject]@{ Archivo   = $pdf.Name Tipologia = $status.output.identificacion.tipologiaFamilia Estado    = $status.output.resultado.estado Confianza = $status.output.resultado.confianzaGlobal Calidad   = $status.output.resultado.estadoCalidad } $resultados += $resultado Write-Host "  ✅ $($resultado.Tipologia) | $($resultado.Estado) | Conf=$($resultado.Confianza)" -ForegroundColor Green } catch { Write-Host "  ❌ Error: $_" -ForegroundColor Red $resultados += [PSCustomObject]@{ Archivo = $pdf.Name; Estado = "ERROR"; Error = $_ } } }  # Mostrar resumen $resultados | Format-Table -AutoSize $resultados | Export-Csv -Path "resultado_lote_$(Get-Date -Format 'yyyyMMdd').csv" -Encoding UTF8 -NoTypeInformation ```  ---  ### Ejemplo 12: Polling con seguimiento de progreso  ```powershell function Wait-DocumentIA { param( [string]$StatusUri, [int]$MaxRetries = 90, [int]$PollDelaySeconds = 2 )  for ($i = 0; $i -lt $MaxRetries; $i++) { $status = Invoke-RestMethod -Method GET -Uri $StatusUri  if ($status.runtimeStatus -eq "Running" -and $status.customStatus) { $cs = $status.customStatus Write-Host "  ⏳ Actividad: $($cs.actividad) | Completadas: $($cs.completadas -join ' → ') | $($cs.duracionMs)ms" } elseif ($status.runtimeStatus -eq "Completed") { $out = $status.output $r = $out.resultado Write-Host "" Write-Host "✅ COMPLETADO en $($out.detalleEjecucion.duracionMs)ms" -ForegroundColor Green Write-Host "   Tipología  : $($out.identificacion.tipologiaFamilia) v$($out.identificacion.tipologiaVersion)" Write-Host "   Estado     : $($r.estado)" Write-Host "   Calidad    : $($r.estadoCalidad) (confianza: $($r.confianzaGlobal))" Write-Host "   FallbackLLM: $($out.detalleEjecucion.clasificacion.fallbackLLM)" return $status } elseif ($status.runtimeStatus -in @("Failed", "Terminated")) { Write-Host "❌ FALLIDO: $($status.output)" -ForegroundColor Red return $status }  Start-Sleep -Seconds $PollDelaySeconds }  Write-Host "⏰ Timeout esperando resultado" -ForegroundColor Yellow return $null } ```  ---  ### Ejemplo 13: Verificar salud del sistema antes de procesar  ```powershell $health = Invoke-RestMethod -Method POST -Uri "http://localhost:7071/api/healthcheck" if ($health.status -ne "healthy") { Write-Warning "Sistema no disponible: $($health.status)" # Detalle por componente $health.components.PSObject.Properties | ForEach-Object { Write-Host "$($_.Name): $($_.Value.status) — $($_.Value.message)" } } else { Write-Host "Sistema listo ✅" } ```  ---  ## 10. Casuísticas y Comportamientos Posibles  ### 10.1 Matriz completa de resultados (Nota Simple 1.4)  | # | Clasificación | Fallback Clasif | Extracción | Resultado Extrac | Resultado Final | |---|---|---|---|---|---| | 1 | ExpectedType | N/A | Disabled | — | ✅ `OK` | | 2 | ExpectedType | N/A | Provider | ≥50% campos | ✅ `OK` | | 3 | ExpectedType | N/A | Provider | &lt;50% campos | ✅ `OK` (fallback GPT extracción) | | 4 | ExpectedType | N/A | Provider | Error | ❌ `ERROR` | | 5 | DI ≥0.85 | NO | Disabled | — | ✅ `OK` | | 6 | DI ≥0.85 | NO | Provider | ≥50% campos | ✅ `OK` | | 7 | DI ≥0.85 | NO | Provider | &lt;50% campos | ✅ `OK` (fallback GPT extracción) | | 8 | DI ≥0.85 | NO | Provider | Error | ❌ `ERROR` | | 9 | DI &lt;0.85 | GPT ✅ | Disabled | — | ✅ `OK` | | 10 | DI &lt;0.85 | GPT ✅ | Provider | ≥50% campos | ✅ `OK` | | 11 | DI &lt;0.85 | GPT ✅ | Provider | &lt;50% campos | ✅ `OK` (fallback GPT extracción) | | 12 | DI &lt;0.85 | GPT ✅ | Provider | Error | ❌ `ERROR` | | 13 | DI &lt;0.85 | GPT ❌ | Disabled | — | ✅ `OK` (mantiene resultado DI) | | 14 | DI &lt;0.85 | GPT ❌ | Provider | ≥50% campos | ✅ `OK` | | 15 | DI &lt;0.85 | GPT ❌ | Provider | &lt;50% campos | ✅ `OK` (fallback GPT extracción) | | 16 | DI error | GPT ✅ | Provider | ≥50% campos | ✅ `OK` | | 17 | DI error | GPT ✅ | Provider | &lt;50% campos | ✅ `OK` (fallback GPT) | | 18 | DI error | GPT ✅ | Provider | Error | ❌ `ERROR` | | 19 | Mock | N/A | Provider | ≥50% campos | ✅ `OK` | | 20 | DI error | GPT ❌ | — | — | ❌ `ERROR` | | 21 | DI = RESTO | GPT ✅ | Provider | ≥50% campos | ✅ `OK` | | 22 | DI = RESTO | GPT ❌ (Desconocido) | — | — | ⚠️ `NO_CLASIFICADO` |  **Resumen:** 16 causísticas terminan en OK, 5 en ERROR, 1 en NO_CLASIFICADO.  ### 10.2 Diagrama de flujo de casuísticas  ```mermaid flowchart TD A["📋 Inicio procesamiento"] --&gt; B{Clasificación}  B --&gt;|"ExpectedType informado"| C["✓ Clasif: OK\n(confianza=1.0)"] B --&gt;|"DI ≥ umbral"| D["✓ Clasif: OK\n(sin fallback)"] B --&gt;|"DI &lt; umbral"| E{"Fallback GPT\nclasificación"} B --&gt;|"DI = RESTO"| E B --&gt;|"DI Error"| F{"Fallback GPT\nclasificación"} B --&gt;|"Mock"| G["✓ Clasif: OK\n(mock)"]  E --&gt;|"GPT ✓ válido"| E_OK["✓ Clasif: OK\nFallbackLLM=true"] E --&gt;|"GPT ✗ falla / DI tenía resultado"| E_FAIL["✓ Clasif: OK\n(mantiene DI)"]  F --&gt;|"GPT ✓ válido"| F_OK["✓ Clasif: OK\nFallbackLLM=true"] F --&gt;|"GPT ✗ falla técnica"| FAIL["❌ ERROR (#20)"] F --&gt;|"GPT → Desconocido\n(RESTO original)"| NC["⚠️ NO_CLASIFICADO\n(#22)"]  C &amp; D &amp; E_OK &amp; E_FAIL &amp; F_OK &amp; G --&gt; H{Extracción}  H --&gt;|"Disabled"| OK1["✅ OK\n(#1,5,9,13)"] H --&gt;|"Provider"| I{"Resultado extracción"}  I --&gt;|"≥50% campos OK"| OK2["✅ OK\n(#2,6,10,14,16,19,21)"] I --&gt;|"&lt;50% campos\no Insuficiente"| J{"Fallback GPT\nextracción"} I --&gt;|"Error"| K{"Fallback GPT\nextracción"}  J --&gt;|"GPT ✓"| OK3["✅ OK con fallback\n(#3,7,11,15,17)"] J --&gt;|"GPT ✗"| ERR["❌ ERROR\n(#4,8,12,18)"] K --&gt;|"GPT ✓"| OK3 K --&gt;|"GPT ✗"| ERR  style OK1 fill:#81C784,stroke:#2E7D32,color:#fff style OK2 fill:#81C784,stroke:#2E7D32,color:#fff style OK3 fill:#81C784,stroke:#2E7D32,color:#fff style FAIL fill:#EF9A9A,stroke:#C62828,color:#fff style ERR fill:#EF9A9A,stroke:#C62828,color:#fff style NC fill:#FFB74D,stroke:#EF6C00,color:#fff ```  ### 10.3 Comportamiento especial: documento RESTO  Cuando Azure DI clasifica un documento como `RESTO`, indica que no lo reconoce en ninguna de las clases entrenadas. El fallback GPT es **obligatorio** e independiente del umbral configurado.  ``` DI → "RESTO" (confianza: 0.40) → Fallback GPT obligatorio → GPT → "nota-simple" (confianza: 0.85) → ✅ OK con FallbackLLM=true → GPT → "Desconocido" (confianza: 0.15) → ⚠️ NO_CLASIFICADO (controlado) ```  ### 10.4 Comportamiento especial: documento duplicado  ``` SHA256 del documento coincide con ejecución anterior → skipDuplicateCheck=false, forceReprocess=false → Estado=DUPLICADO, reutilizadaPorDuplicado=true → Se devuelve el resultado de la ejecución anterior → skipDuplicateCheck=true → Ignora duplicado, procesa normalmente → forceReprocess=true → Procesa de nuevo aunque sea duplicado (sin reutilizar) ```  ---  ## 11. Errores Frecuentes y Soluciones  ### 11.1 Tabla de errores y soluciones  | Error / Situación | Causa | Solución | |---|---|---| | `Estado = NO_CLASIFICADO` | GPT no pudo identificar el tipo | Revisar el documento; si es un tipo conocido, usar `expectedType` | | `Estado = ERROR` + `mensajeError = "KeyNotFoundException"` | `expectedType` no existe en el registro | Verificar la familia/versión en `TipologiaVersionResolver` | | `Estado = ERROR` + error en plugin `refCatExcel` | El plugin de prioridad 1 falló | Verificar disponibilidad del servicio en `localhost:8082`; desactivar plugin si no está disponible | | `EstadoCalidad = REVISION` | Confianza global entre 0.70 y 0.85 | Revisar manualmente los datos extraídos | | `EstadoCalidad = ERROR` | Confianza global &lt; 0.70 | Revisión humana obligatoria; considerar extracción manual | | `400 Bad Request` | Body inválido o campos fuera de rango | Verificar que `base64` y `objectIdGDC` no coexisten; revisar longitudes de prompts (≤ 5000 chars) | | `confianzaClasificacion = 0` | NO_CLASIFICADO | Ver causística #22 | | `FallbackLLM = true` con `confianza &lt; 0.85` | GPT clasificó pero con baja confianza | `EstadoCalidad` será REVISION; revisar tipología detectada | | Proceso en `Running` &gt; 120 s | Timeout en Azure DI o GPT | El proceso fallará en timeout; verificar conectividad y cuotas de los servicios AI | | `runtimeStatus = "Failed"` (sin output) | Error no controlado en el orquestador | Revisar logs de Application Insights con el `instanceId` |  ### 11.2 Interpretar el campo `detalleEjecucion.clasificacion`  ```json // Clasificación exitosa sin fallback { "clasificacion": { "tipologiaDetectada": "nota.simple.1_4", "clasificador": "DocumentAICC_v0", "confianza": 0.95, "fallbackLLM": false, "fallbackRazon": null } }  // Clasificación con fallback GPT (confianza baja de DI) { "clasificacion": { "tipologiaDetectada": "nota.simple.1_4", "clasificador": "gpt-4o-mini", "confianza": 0.82, "fallbackLLM": true, "fallbackRazon": "low_confidence:0.65" } }  // Clasificación con fallback GPT (DI = RESTO) { "clasificacion": { "tipologiaDetectada": "tasacion", "clasificador": "gpt-4o-mini", "confianza": 0.78, "fallbackLLM": true, "fallbackRazon": "resto_classification:0.45" } }  // No clasificado { "clasificacion": { "tipologiaDetectada": "Desconocido", "clasificador": "gpt-4o-mini", "confianza": 0, "fallbackLLM": true, "fallbackRazon": "fallback_unclassified" } } ```  ---  ## 12. Añadir una Nueva Tipología  ### 12.1 Pasos  ```mermaid flowchart LR A["1. Crear\nvalidation.json"] --&gt; B["2. (Opcional)\nCrear plugins.json"] B --&gt; C["3. Verificar con\nTipologiaVersionResolver"] C --&gt; D["4. Si isDefault, verificar\nno hay otro default"] D --&gt; E["5. Entrenar Azure DI\no usar expectedType"] E --&gt; F["6. Test E2E\ncon documento real"] ```  ### 12.2 Plantilla mínima de validation.json  ```json { "tipologiaId": "mi-nueva-tipologia", "tipologiaNombre": "Mi Nueva Tipología", "version": "1.0", "isDefault": true, "skipGDCUpload": false, "gptDescripcion": "Descripción del tipo de documento para el LLM de clasificación/fallback.",  "extraction": { "enabled": false, "provider": "mock", "modelKey": "unused", "autoMapUnmappedFields": true, "fieldMappings": [] },  "promptConfig": { "enabled": false, "modelKey": "default.gpt4o-mini", "systemPrompt": "", "userPromptTemplate": "", "maxTokens": 1200, "temperature": 0.0, "contentMode": "markdown" },  "confidenceConfig": { "clasifUmbralFallback": 0.85, "umbralOK": 0.85, "umbralRevision": 0.70 },  "fields": [ { "name": "CampoObligatorio", "type": "string", "required": true, "rules": [ { "ruleType": "minLength", "severity": "Error", "parameters": { "value": 1 } }, { "ruleType": "maxLength", "severity": "Error", "parameters": { "value": 100 } } ] } ] } ```  ### 12.3 Verificación tras crear la tipología  ```powershell # Probar con clasificación forzada antes de entrenar el modelo DI $body = @{ instrucciones = @{ expectedType = "mi-nueva-tipologia" skipGDCUpload = $true skipDuplicateCheck = $true } documento = @{ name = "prueba.pdf" content = @{ base64 = "&lt;BASE64_DOCUMENTO_PRUEBA&gt;" } } trazabilidad = @{ correlationId = "TEST-NUEVA-TIPOLOGIA-001" submittedBy = "developer" } } | ConvertTo-Json -Depth 5  $r = Invoke-RestMethod -Method POST ` -Uri "http://localhost:7071/api/IngestDocument" ` -ContentType "application/json" -Body $body  Write-Host "InstanceId: $($r.instanceId)" # Luego hacer polling para verificar resultado ```  ---  ## Anexo A: Diagrama de Arquitectura del Sistema  ```mermaid flowchart TB subgraph Clientes["Clientes"] DESKTOP["DocumentIA Desktop\n(WPF .NET 8)"] ADMIN["DocumentIA Admin\n(Blazor Server)"] API_EXT["Sistema Externo\n(API REST)"] end  subgraph Functions["Azure Functions — DocumentIA"] TRIGGER["POST /api/IngestDocument\n(HTTP Trigger)"] HEALTH["POST /api/healthcheck\n(HTTP Trigger)"] ORCH["Durable Orchestrator\nDocumentProcessOrchestrator"] ACTS["Activities\n(11 actividades en pipeline)"] end  subgraph AIServices["Servicios de IA (Azure)"] DI["Azure AI\nDocument Intelligence\nDocumentAICC_v0"] CU["Azure Content\nUnderstanding"] GPT["Azure OpenAI\nGPT-4o-mini"] end  subgraph Storage["Almacenamiento"] BLOB["Azure Blob Storage\n(PDFs procesados)"] SQL["SQL Server\n(Resultados + auditoría)"] GDC["GDC SINTWS\n(Gestor Documental)"] end  DESKTOP &amp; ADMIN &amp; API_EXT --&gt; TRIGGER TRIGGER --&gt; ORCH ORCH --&gt; ACTS ACTS --&gt; DI ACTS --&gt; CU ACTS --&gt; GPT ACTS --&gt; BLOB ACTS --&gt; SQL ACTS --&gt; GDC  style DI fill:#0078D4,stroke:#005A9E,color:#fff style CU fill:#0078D4,stroke:#005A9E,color:#fff style GPT fill:#0078D4,stroke:#005A9E,color:#fff ```  ---  ## Anexo B: Glosario  | Término | Definición | |---|---| | **Tipología** | Tipo de documento con su configuración de extracción, validación y comportamiento | | **ExpectedType** | Parámetro que fuerza la tipología sin clasificación IA | | **Azure DI** | Azure AI Document Intelligence: servicio de IA de clasificación con modelo custom entrenado | | **Azure CU** | Azure Content Understanding: servicio de extracción estructurada de campos de documentos | | **Fallback GPT** | Mecanismo de reserva que usa GPT-4o-mini cuando Azure DI no puede clasificar con suficiente confianza | | **RESTO** | Etiqueta que Azure DI asigna cuando no reconoce el documento. Siempre activa fallback GPT | | **Confianza** | Puntuación numérica 0–1 que indica la certeza del sistema en cada etapa | | **EstadoCalidad** | Semáforo de fiabilidad de los datos: OK, REVISION o ERROR | | **GDC** | Gestor Documental Corporativo (SINTWS SOAP) donde se archivan los documentos | | **Durable Functions** | Patrón de orquestación asíncrona de Azure que gestiona el pipeline de actividades | | **instanceId** | Identificador único de una ejecución del orquestador para hacer polling del resultado | | **Plugin** | Componente de integración (REST/SOAP/DLL) que enriquece los datos extraídos |  ---  *Documento generado: Mayo 2026 | DocumentIA MVP v1.0 | AI DocClassExt — SAREB*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005A9E"/>
      </w:pBdr>
    </w:pPr>
    <w:r>
      <w:rPr>
        <w:rFonts w:ascii="Calibri" w:hAnsi="Calibri"/>
        <w:color w:val="999999"/>
        <w:sz w:val="16"/>
      </w:rPr>
      <w:t xml:space="preserve">Versión 1.0 | Mayo 2026 | Uso interno — SAREB                                                    Página </w:t>
    </w:r>
    <w:r>
      <w:rPr>
        <w:rFonts w:ascii="Calibri" w:hAnsi="Calibri"/>
        <w:color w:val="999999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  <w:pBdr>
        <w:bottom w:val="single" w:sz="6" w:space="1" w:color="005A9E"/>
      </w:pBdr>
    </w:pPr>
    <w:r>
      <w:rPr>
        <w:rFonts w:ascii="Calibri" w:hAnsi="Calibri"/>
        <w:color w:val="999999"/>
        <w:sz w:val="16"/>
      </w:rPr>
      <w:t>DocumentIA — Guía de Clasificación de Documentos | AI DocClassExt — SAREB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539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539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78D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8D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