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Grading Rubric: Automated RAG Evaluator and Diagnoser</w:t>
      </w:r>
    </w:p>
    <w:p>
      <w:pPr>
        <w:jc w:val="center"/>
      </w:pPr>
      <w:r>
        <w:rPr>
          <w:i/>
        </w:rPr>
        <w:t>For interviewer use</w:t>
      </w:r>
    </w:p>
    <w:p>
      <w:pPr>
        <w:pStyle w:val="Heading1"/>
      </w:pPr>
      <w:r>
        <w:t>Scoring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A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12"/>
            <w:vAlign w:val="center"/>
            <w:shd w:fill="DCEAF7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312"/>
            <w:vAlign w:val="center"/>
            <w:shd w:fill="DCEAF7"/>
          </w:tcPr>
          <w:p>
            <w:r>
              <w:rPr>
                <w:b/>
              </w:rPr>
              <w:t>Strong performance looks like</w:t>
            </w:r>
          </w:p>
        </w:tc>
      </w:tr>
      <w:tr>
        <w:tc>
          <w:tcPr>
            <w:tcW w:type="dxa" w:w="3312"/>
            <w:vAlign w:val="center"/>
          </w:tcPr>
          <w:p>
            <w:r>
              <w:t>Metric design</w:t>
            </w:r>
          </w:p>
        </w:tc>
        <w:tc>
          <w:tcPr>
            <w:tcW w:type="dxa" w:w="3312"/>
            <w:vAlign w:val="center"/>
          </w:tcPr>
          <w:p>
            <w:r>
              <w:t>20%</w:t>
            </w:r>
          </w:p>
        </w:tc>
        <w:tc>
          <w:tcPr>
            <w:tcW w:type="dxa" w:w="3312"/>
            <w:vAlign w:val="center"/>
          </w:tcPr>
          <w:p>
            <w:r>
              <w:t>Clear stage-wise metrics; knows when to use direct labels versus proxies.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RAG pipeline understanding</w:t>
            </w:r>
          </w:p>
        </w:tc>
        <w:tc>
          <w:tcPr>
            <w:tcW w:type="dxa" w:w="3312"/>
            <w:vAlign w:val="center"/>
          </w:tcPr>
          <w:p>
            <w:r>
              <w:t>20%</w:t>
            </w:r>
          </w:p>
        </w:tc>
        <w:tc>
          <w:tcPr>
            <w:tcW w:type="dxa" w:w="3312"/>
            <w:vAlign w:val="center"/>
          </w:tcPr>
          <w:p>
            <w:r>
              <w:t>Correct decomposition of retrieval, reranking, prompting, and generation effects.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Diagnostic reasoning</w:t>
            </w:r>
          </w:p>
        </w:tc>
        <w:tc>
          <w:tcPr>
            <w:tcW w:type="dxa" w:w="3312"/>
            <w:vAlign w:val="center"/>
          </w:tcPr>
          <w:p>
            <w:r>
              <w:t>20%</w:t>
            </w:r>
          </w:p>
        </w:tc>
        <w:tc>
          <w:tcPr>
            <w:tcW w:type="dxa" w:w="3312"/>
            <w:vAlign w:val="center"/>
          </w:tcPr>
          <w:p>
            <w:r>
              <w:t>Can explain likely root causes and map them to concrete fixes.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Engineering quality</w:t>
            </w:r>
          </w:p>
        </w:tc>
        <w:tc>
          <w:tcPr>
            <w:tcW w:type="dxa" w:w="3312"/>
            <w:vAlign w:val="center"/>
          </w:tcPr>
          <w:p>
            <w:r>
              <w:t>15%</w:t>
            </w:r>
          </w:p>
        </w:tc>
        <w:tc>
          <w:tcPr>
            <w:tcW w:type="dxa" w:w="3312"/>
            <w:vAlign w:val="center"/>
          </w:tcPr>
          <w:p>
            <w:r>
              <w:t>Runnable or near-runnable design, configuration-driven experiments, reproducibility.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Experiment design</w:t>
            </w:r>
          </w:p>
        </w:tc>
        <w:tc>
          <w:tcPr>
            <w:tcW w:type="dxa" w:w="3312"/>
            <w:vAlign w:val="center"/>
          </w:tcPr>
          <w:p>
            <w:r>
              <w:t>15%</w:t>
            </w:r>
          </w:p>
        </w:tc>
        <w:tc>
          <w:tcPr>
            <w:tcW w:type="dxa" w:w="3312"/>
            <w:vAlign w:val="center"/>
          </w:tcPr>
          <w:p>
            <w:r>
              <w:t>Baseline setup, ablations, ranking logic, and separation of dev versus holdout sets.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Communication and trade-offs</w:t>
            </w:r>
          </w:p>
        </w:tc>
        <w:tc>
          <w:tcPr>
            <w:tcW w:type="dxa" w:w="3312"/>
            <w:vAlign w:val="center"/>
          </w:tcPr>
          <w:p>
            <w:r>
              <w:t>10%</w:t>
            </w:r>
          </w:p>
        </w:tc>
        <w:tc>
          <w:tcPr>
            <w:tcW w:type="dxa" w:w="3312"/>
            <w:vAlign w:val="center"/>
          </w:tcPr>
          <w:p>
            <w:r>
              <w:t>Balanced discussion of validity, cost, latency, and failure modes.</w:t>
            </w:r>
          </w:p>
        </w:tc>
      </w:tr>
    </w:tbl>
    <w:p/>
    <w:p>
      <w:pPr>
        <w:pStyle w:val="Heading1"/>
      </w:pPr>
      <w:r>
        <w:t>Checklist for interviewers</w:t>
      </w:r>
    </w:p>
    <w:p>
      <w:pPr>
        <w:pStyle w:val="ListBullet"/>
      </w:pPr>
      <w:r>
        <w:t>Did the candidate define per-stage metrics rather than a single final score?</w:t>
      </w:r>
    </w:p>
    <w:p>
      <w:pPr>
        <w:pStyle w:val="ListBullet"/>
      </w:pPr>
      <w:r>
        <w:t>Did the candidate distinguish direct supervision in Case 1 from proxy evaluation in Case 2?</w:t>
      </w:r>
    </w:p>
    <w:p>
      <w:pPr>
        <w:pStyle w:val="ListBullet"/>
      </w:pPr>
      <w:r>
        <w:t>Did the candidate define how to compare configurations consistently?</w:t>
      </w:r>
    </w:p>
    <w:p>
      <w:pPr>
        <w:pStyle w:val="ListBullet"/>
      </w:pPr>
      <w:r>
        <w:t>Did the candidate propose a diagnosis taxonomy rather than vague observations?</w:t>
      </w:r>
    </w:p>
    <w:p>
      <w:pPr>
        <w:pStyle w:val="ListBullet"/>
      </w:pPr>
      <w:r>
        <w:t>Did the candidate discuss statistical stability, confidence intervals, or repeated runs where appropriate?</w:t>
      </w:r>
    </w:p>
    <w:p>
      <w:pPr>
        <w:pStyle w:val="Heading1"/>
      </w:pPr>
      <w:r>
        <w:t>Red flags</w:t>
      </w:r>
    </w:p>
    <w:p>
      <w:pPr>
        <w:pStyle w:val="ListBullet"/>
      </w:pPr>
      <w:r>
        <w:t>Treating answer BLEU or ROUGE as the only quality metric.</w:t>
      </w:r>
    </w:p>
    <w:p>
      <w:pPr>
        <w:pStyle w:val="ListBullet"/>
      </w:pPr>
      <w:r>
        <w:t>No separation between retrieval quality and generation quality.</w:t>
      </w:r>
    </w:p>
    <w:p>
      <w:pPr>
        <w:pStyle w:val="ListBullet"/>
      </w:pPr>
      <w:r>
        <w:t>No plan for Case 2 beyond asking an LLM if the answer looks good.</w:t>
      </w:r>
    </w:p>
    <w:p>
      <w:pPr>
        <w:pStyle w:val="ListBullet"/>
      </w:pPr>
      <w:r>
        <w:t>No baseline or no ablation strategy.</w:t>
      </w:r>
    </w:p>
    <w:p>
      <w:pPr>
        <w:pStyle w:val="ListBullet"/>
      </w:pPr>
      <w:r>
        <w:t>No diagnosis logic linking symptoms to likely root causes.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46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46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46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46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