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Club's Admin (Club Management Board)</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the board of a club; named Club's Admin on the context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54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UC43)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54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two external systems, Google OAuth and Google SMTP.</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making the process transparent, consistent and traceable across the whole club management workflow. The diagram carries 55 data flows, and every one of them is produced or consumed by at least one of the 54 use cases.</w:t>
      </w:r>
    </w:p>
    <w:p>
      <w:pPr>
        <w:keepNext/>
        <w:spacing w:after="60" w:before="120"/>
        <w:jc w:val="center"/>
      </w:pPr>
      <w:r>
        <w:drawing>
          <wp:inline distT="0" distB="0" distL="0" distR="0">
            <wp:extent cx="57531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5667375"/>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2"/>
      </w:pPr>
      <w:r>
        <w:t xml:space="preserve">2. User Requirements</w:t>
      </w:r>
    </w:p>
    <w:p>
      <w:pPr>
        <w:pStyle w:val="Heading3"/>
      </w:pPr>
      <w:r>
        <w:t xml:space="preserve">2.1 Actors</w:t>
      </w:r>
    </w:p>
    <w:p>
      <w:pPr>
        <w:pStyle w:val="Body"/>
        <w:keepNext/>
      </w:pPr>
      <w:r>
        <w:rPr>
          <w:color w:val="2E75B5"/>
        </w:rPr>
        <w:t xml:space="preserve">Table III.1</w:t>
      </w:r>
      <w:r>
        <w:t xml:space="preserve"> describes the actors of the system. UCMS has three human actors; Google OAuth and Google SMTP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use the member workspace, request to leave a club,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Management Board of a club. It runs the club profile and structure, nominates the board, plans the transition, runs recruitment and the roster, proposes, publishes, cancels and reschedules events, manages the waitlist, finalizes attendance, submits reports, requests budget and records expenses with evidence, requests and releases bookings, reviews feedback and answers forwarded complaints. President, treasurer and department head are RBAC roles inside this actor, and its authority is scoped to the active term.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III.2</w:t>
      </w:r>
      <w:r>
        <w:t xml:space="preserve"> presents the use case diagrams of the system. They are drawn per actor and split by concern, so that each diagram stays readable on a single page; UC numbers match the specifications in section 3.2.</w:t>
      </w:r>
    </w:p>
    <w:p>
      <w:pPr>
        <w:keepNext/>
        <w:spacing w:after="60" w:before="120"/>
        <w:jc w:val="center"/>
      </w:pPr>
      <w:r>
        <w:drawing>
          <wp:inline distT="0" distB="0" distL="0" distR="0">
            <wp:extent cx="57531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33700"/>
                    </a:xfrm>
                    <a:prstGeom prst="rect">
                      <a:avLst/>
                    </a:prstGeom>
                  </pic:spPr>
                </pic:pic>
              </a:graphicData>
            </a:graphic>
          </wp:inline>
        </w:drawing>
      </w:r>
    </w:p>
    <w:p>
      <w:pPr>
        <w:pStyle w:val="Caption"/>
        <w:keepNext w:val="false"/>
        <w:jc w:val="center"/>
      </w:pPr>
      <w:r>
        <w:rPr>
          <w:b/>
          <w:bCs/>
        </w:rPr>
        <w:t xml:space="preserve">Figure III.2.1:</w:t>
      </w:r>
      <w:r>
        <w:t xml:space="preserve"> Use cases shared by all users</w:t>
      </w:r>
    </w:p>
    <w:p>
      <w:pPr>
        <w:keepNext/>
        <w:spacing w:after="60" w:before="120"/>
        <w:jc w:val="center"/>
      </w:pPr>
      <w:r>
        <w:drawing>
          <wp:inline distT="0" distB="0" distL="0" distR="0">
            <wp:extent cx="575310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5676900"/>
                    </a:xfrm>
                    <a:prstGeom prst="rect">
                      <a:avLst/>
                    </a:prstGeom>
                  </pic:spPr>
                </pic:pic>
              </a:graphicData>
            </a:graphic>
          </wp:inline>
        </w:drawing>
      </w:r>
    </w:p>
    <w:p>
      <w:pPr>
        <w:pStyle w:val="Caption"/>
        <w:keepNext w:val="false"/>
        <w:jc w:val="center"/>
      </w:pPr>
      <w:r>
        <w:rPr>
          <w:b/>
          <w:bCs/>
        </w:rPr>
        <w:t xml:space="preserve">Figure III.2.2:</w:t>
      </w:r>
      <w:r>
        <w:t xml:space="preserve"> Use cases of the Student</w:t>
      </w:r>
    </w:p>
    <w:p>
      <w:pPr>
        <w:keepNext/>
        <w:spacing w:after="60" w:before="120"/>
        <w:jc w:val="center"/>
      </w:pPr>
      <w:r>
        <w:drawing>
          <wp:inline distT="0" distB="0" distL="0" distR="0">
            <wp:extent cx="57531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3810000"/>
                    </a:xfrm>
                    <a:prstGeom prst="rect">
                      <a:avLst/>
                    </a:prstGeom>
                  </pic:spPr>
                </pic:pic>
              </a:graphicData>
            </a:graphic>
          </wp:inline>
        </w:drawing>
      </w:r>
    </w:p>
    <w:p>
      <w:pPr>
        <w:pStyle w:val="Caption"/>
        <w:keepNext w:val="false"/>
        <w:jc w:val="center"/>
      </w:pPr>
      <w:r>
        <w:rPr>
          <w:b/>
          <w:bCs/>
        </w:rPr>
        <w:t xml:space="preserve">Figure III.2.3:</w:t>
      </w:r>
      <w:r>
        <w:t xml:space="preserve"> Use cases of the Club's Admin (CMB) — club governance</w:t>
      </w:r>
    </w:p>
    <w:p>
      <w:pPr>
        <w:keepNext/>
        <w:spacing w:after="60" w:before="120"/>
        <w:jc w:val="center"/>
      </w:pPr>
      <w:r>
        <w:drawing>
          <wp:inline distT="0" distB="0" distL="0" distR="0">
            <wp:extent cx="57531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5334000"/>
                    </a:xfrm>
                    <a:prstGeom prst="rect">
                      <a:avLst/>
                    </a:prstGeom>
                  </pic:spPr>
                </pic:pic>
              </a:graphicData>
            </a:graphic>
          </wp:inline>
        </w:drawing>
      </w:r>
    </w:p>
    <w:p>
      <w:pPr>
        <w:pStyle w:val="Caption"/>
        <w:keepNext w:val="false"/>
        <w:jc w:val="center"/>
      </w:pPr>
      <w:r>
        <w:rPr>
          <w:b/>
          <w:bCs/>
        </w:rPr>
        <w:t xml:space="preserve">Figure III.2.4:</w:t>
      </w:r>
      <w:r>
        <w:t xml:space="preserve"> Use cases of the Club's Admin (CMB) — recruitment &amp; membership</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III.2.5:</w:t>
      </w:r>
      <w:r>
        <w:t xml:space="preserve"> Use cases of the Club's Admin (CMB) — events &amp; bookings</w:t>
      </w:r>
    </w:p>
    <w:p>
      <w:pPr>
        <w:keepNext/>
        <w:spacing w:after="60" w:before="120"/>
        <w:jc w:val="center"/>
      </w:pPr>
      <w:r>
        <w:drawing>
          <wp:inline distT="0" distB="0" distL="0" distR="0">
            <wp:extent cx="57531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6896100"/>
                    </a:xfrm>
                    <a:prstGeom prst="rect">
                      <a:avLst/>
                    </a:prstGeom>
                  </pic:spPr>
                </pic:pic>
              </a:graphicData>
            </a:graphic>
          </wp:inline>
        </w:drawing>
      </w:r>
    </w:p>
    <w:p>
      <w:pPr>
        <w:pStyle w:val="Caption"/>
        <w:keepNext w:val="false"/>
        <w:jc w:val="center"/>
      </w:pPr>
      <w:r>
        <w:rPr>
          <w:b/>
          <w:bCs/>
        </w:rPr>
        <w:t xml:space="preserve">Figure III.2.6:</w:t>
      </w:r>
      <w:r>
        <w:t xml:space="preserve"> Use cases of the Club's Admin (CMB) — accountability &amp; finance</w:t>
      </w:r>
    </w:p>
    <w:p>
      <w:pPr>
        <w:keepNext/>
        <w:spacing w:after="60" w:before="120"/>
        <w:jc w:val="center"/>
      </w:pPr>
      <w:r>
        <w:drawing>
          <wp:inline distT="0" distB="0" distL="0" distR="0">
            <wp:extent cx="5753100" cy="557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5572125"/>
                    </a:xfrm>
                    <a:prstGeom prst="rect">
                      <a:avLst/>
                    </a:prstGeom>
                  </pic:spPr>
                </pic:pic>
              </a:graphicData>
            </a:graphic>
          </wp:inline>
        </w:drawing>
      </w:r>
    </w:p>
    <w:p>
      <w:pPr>
        <w:pStyle w:val="Caption"/>
        <w:keepNext w:val="false"/>
        <w:jc w:val="center"/>
      </w:pPr>
      <w:r>
        <w:rPr>
          <w:b/>
          <w:bCs/>
        </w:rPr>
        <w:t xml:space="preserve">Figure III.2.7:</w:t>
      </w:r>
      <w:r>
        <w:t xml:space="preserve"> Use cases of the ICPDP Officer — access &amp; club lifecycle</w:t>
      </w:r>
    </w:p>
    <w:p>
      <w:pPr>
        <w:keepNext/>
        <w:spacing w:after="60" w:before="120"/>
        <w:jc w:val="center"/>
      </w:pPr>
      <w:r>
        <w:drawing>
          <wp:inline distT="0" distB="0" distL="0" distR="0">
            <wp:extent cx="5753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4543425"/>
                    </a:xfrm>
                    <a:prstGeom prst="rect">
                      <a:avLst/>
                    </a:prstGeom>
                  </pic:spPr>
                </pic:pic>
              </a:graphicData>
            </a:graphic>
          </wp:inline>
        </w:drawing>
      </w:r>
    </w:p>
    <w:p>
      <w:pPr>
        <w:pStyle w:val="Caption"/>
        <w:keepNext w:val="false"/>
        <w:jc w:val="center"/>
      </w:pPr>
      <w:r>
        <w:rPr>
          <w:b/>
          <w:bCs/>
        </w:rPr>
        <w:t xml:space="preserve">Figure III.2.8:</w:t>
      </w:r>
      <w:r>
        <w:t xml:space="preserve"> Use cases of the ICPDP Officer — events, bookings &amp; finance</w:t>
      </w:r>
    </w:p>
    <w:p>
      <w:pPr>
        <w:keepNext/>
        <w:spacing w:after="60" w:before="120"/>
        <w:jc w:val="center"/>
      </w:pPr>
      <w:r>
        <w:drawing>
          <wp:inline distT="0" distB="0" distL="0" distR="0">
            <wp:extent cx="57531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3924300"/>
                    </a:xfrm>
                    <a:prstGeom prst="rect">
                      <a:avLst/>
                    </a:prstGeom>
                  </pic:spPr>
                </pic:pic>
              </a:graphicData>
            </a:graphic>
          </wp:inline>
        </w:drawing>
      </w:r>
    </w:p>
    <w:p>
      <w:pPr>
        <w:pStyle w:val="Caption"/>
        <w:keepNext w:val="false"/>
        <w:jc w:val="center"/>
      </w:pPr>
      <w:r>
        <w:rPr>
          <w:b/>
          <w:bCs/>
        </w:rPr>
        <w:t xml:space="preserve">Figure III.2.9: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54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positions inside the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gives internal authority below board level by assigning a position defined in UC09 to an active member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(as a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Approving a proposal that carries a booking request does not approve the booking; UC48 decides it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requests funding against a stated business purpose — an event, a semester plan or an approved activity — with categories, amounts and expected expense lines.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funding decision per request, with the approved amount stored separately from the requested amount and the reasoning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records what was actually released against what was approved, as tracking only; the system refuses a total above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with its evidence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records actual spending against its budget line or event and attaches the evidence the category requires, in the same act; an out-of-category expense is flagged as an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computes approved, disbursed, recorded, supported, unsupported, remaining and variance; the officer resolves the exceptions and closes the case as Reconciled or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color w:val="2E75B5"/>
        </w:rPr>
        <w:t xml:space="preserve">Figure III.3</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III.3:</w:t>
      </w:r>
      <w:r>
        <w:t xml:space="preserve"> Club establishment and operational setup flow</w:t>
      </w:r>
    </w:p>
    <w:p>
      <w:pPr>
        <w:pStyle w:val="Body"/>
        <w:keepNext/>
      </w:pPr>
      <w:r>
        <w:rPr>
          <w:color w:val="2E75B5"/>
        </w:rPr>
        <w:t xml:space="preserve">Figure III.4</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III.4:</w:t>
      </w:r>
      <w:r>
        <w:t xml:space="preserve"> Club member recruitment flow</w:t>
      </w:r>
    </w:p>
    <w:p>
      <w:pPr>
        <w:pStyle w:val="Body"/>
        <w:keepNext/>
      </w:pPr>
      <w:r>
        <w:rPr>
          <w:color w:val="2E75B5"/>
        </w:rPr>
        <w:t xml:space="preserve">Figure III.5</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III.5:</w:t>
      </w:r>
      <w:r>
        <w:t xml:space="preserve"> Event proposal and approval flow</w:t>
      </w:r>
    </w:p>
    <w:p>
      <w:pPr>
        <w:pStyle w:val="Body"/>
        <w:keepNext/>
      </w:pPr>
      <w:r>
        <w:rPr>
          <w:color w:val="2E75B5"/>
        </w:rPr>
        <w:t xml:space="preserve">Figure III.6</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III.6:</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III.7:</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III.8:</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III.9:</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III.10:</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of the club and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funding against a stated business purpose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and attach the evidence its category requires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spent, supported and remaining figures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budget request and decide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amount actually released against an approval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recorded, supported, unsupported, remaining and variance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Club's Admin</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54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Club's Admin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ICPDP content: pending approvals by type and age, clubs by state, overdue reports, unreconciled budgets, open cases, upcoming bookings.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CMB content: our submissions and their states, upcoming deadlines, the event and booking calendar, roster size, budget position, feedback awaiting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UC47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(UC42)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UC36 and UC48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 a resubmission writes a new version.</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and the applicant holds a temporary founding CMB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and grants the applicant a temporary founding CMB permission limited to UC09 and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completes the operating information of a recognized club and models its internal units — boards, departments and the positions each may hold.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club-administration permission, or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structure — boards, departments and positions.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structure against the university template where one applies.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template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position held by a confirmed board seat or an active assignment is deleted. System refuses until UC10/UC11 or UC23 reassigns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proposes, seat by seat, the members who will hold the board positions of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CMB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defined in UC09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and grants the matching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CMB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outgoing board prepares the handover: the new term, the candidates,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names the candidates for the new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and persists the leadership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UC49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(UC42),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a default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default role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Assign positions inside the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Assign positions inside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gives internal authority below board level by assigning a position defined in UC09 to an active member for an effective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internal authority to members below board level, with the permissions attached to the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fills a department head, treasurer or coordinator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Active; the position is defined in UC09.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the position and its permissions, scoped to the club and the active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organization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and the active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assigns a position to an active member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attached to that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assignment and shows it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marked sensitive.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submits the assignment for confirmation through UC11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(as a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UC50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objective, time, venue, audience, capacity, plan, risk category, budget estimate and facility needs.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report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Approving a proposal that carries a booking request does not approve the booking; UC48 decides it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budget estimate,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without approving any attached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above the configured risk or size threshold routes to a second ICPDP level; BR31 keeps ICPDP the single authority.</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UC42,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UC42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Submit a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requests funding against a stated business purpose — an event, a semester plan or an approved activity — with categories, amounts and expected expense 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funding in a form that can be traced from purpose to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money for an event, a semester plan or an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 with an immutable version and an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request and links it to its business purpose.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purpose is a valid event, plan or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categories, the amounts and the expected expense lines.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against the line items.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creates the version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request to Submitted and preserves both the version history and the approval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valid purpose is linked.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for the same event and category already exists. System warns the member and leaves the duplication decision to UC36.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request must be linked to a valid business purpose.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w:t>
            </w:r>
          </w:p>
        </w:tc>
      </w:tr>
    </w:tbl>
    <w:p>
      <w:pPr>
        <w:spacing w:after="120"/>
      </w:pPr>
    </w:p>
    <w:p>
      <w:pPr>
        <w:pStyle w:val="Heading4"/>
        <w:pageBreakBefore/>
      </w:pPr>
      <w:r>
        <w:t xml:space="preserve">UC36 – Assess and decide the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funding decision per request, with the approved amount stored separately from the requested amount and the reasoning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funding once, transparently, and record what was actually granted.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Revision Requested, Approved with an approved amount, or Rejected.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eligibility, the available allocation, duplication and the state of the related activity.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allocation position of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 possibly with a lower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approved amount separately from the requested amount and sets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amount is above the configured threshold.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lines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approves individual categories and rejects the others, each with its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was rejected or cancelled. System sets the request to Cancelled.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for the period is exhausted. System lets the officer reject or defer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amount above the threshold routes to a second ICPDP level.</w:t>
            </w:r>
          </w:p>
        </w:tc>
      </w:tr>
    </w:tbl>
    <w:p>
      <w:pPr>
        <w:spacing w:after="120"/>
      </w:pPr>
    </w:p>
    <w:p>
      <w:pPr>
        <w:pStyle w:val="Heading4"/>
        <w:pageBreakBefore/>
      </w:pPr>
      <w:r>
        <w:t xml:space="preserve">UC37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records what was actually released against what was approved, as tracking only; the system refuses a total above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Know the disbursed total, which is what makes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Funds are released to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is known and is an input to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disbursed amount, the date and the payment reference.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cumulative total against the approved amount.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request to Disbursed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money is released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accumulates several partial disbursements against one approval, each recorded separately.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would exceed the approved amount. System refuses the entry without an amendment.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UC38 – Record an expense with its evidence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an expense with its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records actual spending against its budget line or event and attaches the evidence the category requires, in the same act; an out-of-category expense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actual spending and substantiate it at the same time.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spends money.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related budget or event exists;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exists, supported or unsupported, and feeds the reconciliation in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its budget line or event,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expense and shows it as unsupported in UC39 until the evidence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must be corrected before reconciliation closes.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bl>
    <w:p>
      <w:pPr>
        <w:spacing w:after="120"/>
      </w:pPr>
    </w:p>
    <w:p>
      <w:pPr>
        <w:pStyle w:val="Heading4"/>
        <w:pageBreakBefore/>
      </w:pPr>
      <w:r>
        <w:t xml:space="preserve">UC39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computes approved, disbursed, recorded, supported, unsupported, remaining and variance; the officer resolves the exceptions and closes the case as Reconciled or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that approved, disbursed, spent and supported tell the same 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ends, or the reconciliation deadline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Disbursed and expenses have been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Reconciled or Exception, then Closed, and the result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budget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computes and displays approved, disbursed, recorded expenses, supported expenses, unsupported expenses, remaining balance and variance.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exceptions flagged by UC38.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each exception with its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marks the case Reconciled, or Exception with the discrepancy stated.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closes the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Closed and audits the outcome; the club sees it through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leaves the case in Reconciliation Pending and requests the missing evidence from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exceeds the approved amount and no amendment exists. System refuses the reconciliation.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Reconciliation must complete before a budget case is closed.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UC40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UC41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UC40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UC42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escalated complaint (UC53), a report finding (UC34), an overdue report, a financial exception (UC39), an unauthorized event, or a late booking cancellation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UC43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UC44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(UC43); the reports of the period are assessed (UC41).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UC45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UC42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UC46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UC47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UC46.</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UC48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UC49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UC42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UC50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UC51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UC52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UC53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UC53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UC42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UC54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t xml:space="preserve"> lists the business rule catalogue. Rules are enforced in the use case layer, not only in the user interface, so they hold for every entry point. BR43 has been withdrawn and its number is not reused, leaving 51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UC35,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UC36, UC41,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UC47,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UC36,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overdue on a mandatory report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UC25, UC34, UC41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request must be linked to a valid business purpose.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disbursed amount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 must complete before a budget case is closed.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UC36, UC48, 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UC28,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UC50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 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III.11 to III.18</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III.11:</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III.12:</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III.13:</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III.14:</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III.15:</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III.16:</w:t>
      </w:r>
      <w:r>
        <w:t xml:space="preserve"> Event state diagram</w:t>
      </w:r>
    </w:p>
    <w:p>
      <w:r>
        <w:br w:type="page"/>
      </w:r>
    </w:p>
    <w:p>
      <w:pPr>
        <w:keepNext/>
        <w:spacing w:after="60" w:before="120"/>
        <w:jc w:val="center"/>
      </w:pPr>
      <w:r>
        <w:drawing>
          <wp:inline distT="0" distB="0" distL="0" distR="0">
            <wp:extent cx="8886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2143125"/>
                    </a:xfrm>
                    <a:prstGeom prst="rect">
                      <a:avLst/>
                    </a:prstGeom>
                  </pic:spPr>
                </pic:pic>
              </a:graphicData>
            </a:graphic>
          </wp:inline>
        </w:drawing>
      </w:r>
    </w:p>
    <w:p>
      <w:pPr>
        <w:pStyle w:val="Caption"/>
        <w:keepNext w:val="false"/>
        <w:jc w:val="center"/>
      </w:pPr>
      <w:r>
        <w:rPr>
          <w:b/>
          <w:bCs/>
        </w:rPr>
        <w:t xml:space="preserve">Figure III.17:</w:t>
      </w:r>
      <w:r>
        <w:t xml:space="preserve"> Budget request state diagram</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III.18:</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472440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3790950"/>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3495675"/>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One collection is used per aggregate, references are stored as object identifiers, and denormalization is allowed only to keep a list screen to a single query. Capacity for event registration and slot allocation for property booking are protected by a unique index plus a guarded atomic update rather than by a read-check-write sequence.</w:t>
      </w:r>
    </w:p>
    <w:p>
      <w:pPr>
        <w:keepNext/>
        <w:spacing w:after="60" w:before="120"/>
        <w:jc w:val="center"/>
      </w:pPr>
      <w:r>
        <w:drawing>
          <wp:inline distT="0" distB="0" distL="0" distR="0">
            <wp:extent cx="5753100" cy="698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6981825"/>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funding request linked to a business purpose, with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budget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record of funds actually released against an approved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 budget line or an event, flagged when out of category.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computed reconciliation of a budget case and its outcome.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w:t>
      </w:r>
      <w:r>
        <w:rPr>
          <w:rFonts w:ascii="Times New Roman" w:cs="Times New Roman" w:eastAsia="Times New Roman" w:hAnsi="Times New Roman"/>
        </w:rPr>
        <w:t xml:space="preserve"> a unique index on the user e-mail; unique compound indexes on campaign and applicant, on event and student for both registration and attendance, and on event and student for feedback; and compound indexes on club and state, on property with start and end time, on entity type and entity identifier for the audit log and the approval task, on due date and state for the notification outbox, and on club and period for reports and evaluations.</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Ten business objects go through submit, review and decide, most of them with a revise loop: the club establishment application, the board nomination, the transition plan, the club suspension request, the event proposal, the post-event report, the budget request,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UC41.</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UC45.</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PolicyVersion, RoutingRuleSet,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finance-routes, submitBudget, decideBudget, recordDisbursement, recordExpense,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BudgetRequest, BudgetRequestVersion,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UC46–UC49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UC50–UC54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Club's Admin (Club Management Board)</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 xml:space="preserve">Manage money —</w:t>
      </w:r>
      <w:r>
        <w:rPr>
          <w:rFonts w:ascii="Times New Roman" w:cs="Times New Roman" w:eastAsia="Times New Roman" w:hAnsi="Times New Roman"/>
        </w:rPr>
        <w:t xml:space="preserve"> submit a budget request linked to a business purpose, then record each expense with the evidence its category requires. An expense recorded without evidence appears as unsupported until the document arrives.</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 xml:space="preserve">Decide money —</w:t>
      </w:r>
      <w:r>
        <w:rPr>
          <w:rFonts w:ascii="Times New Roman" w:cs="Times New Roman" w:eastAsia="Times New Roman" w:hAnsi="Times New Roman"/>
        </w:rPr>
        <w:t xml:space="preserve"> approve a budget request, possibly with a reduced amount, record what was actually disbursed, and reconcile approved against disbursed, recorded, supported and unsupported spending before closing the case.</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8bc8eda828091b9876e729a2c6870ccac730fd57.jp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