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UCMS — So sánh Context Diagram v1 và v2</w:t>
      </w:r>
    </w:p>
    <w:p>
      <w:pPr>
        <w:spacing w:after="120"/>
      </w:pPr>
      <w:r>
        <w:rPr>
          <w:rFonts w:ascii="Arial" w:cs="Arial" w:eastAsia="Arial" w:hAnsi="Arial"/>
          <w:sz w:val="22"/>
          <w:szCs w:val="22"/>
        </w:rPr>
        <w:t xml:space="preserve">v1: docs/diagrams/UCMS_Context_Diagram.drawio · v2: docs/diagrams/UCMS_Context_Diagram_v2.drawio · Ngày: 2026-09-23</w:t>
      </w:r>
    </w:p>
    <w:p>
      <w:pPr>
        <w:pStyle w:val="Heading1"/>
      </w:pPr>
      <w:r>
        <w:t xml:space="preserve">Tổng quan</w:t>
      </w:r>
    </w:p>
    <w:p>
      <w:pPr>
        <w:spacing w:after="120"/>
      </w:pPr>
      <w:r>
        <w:rPr>
          <w:rFonts w:ascii="Arial" w:cs="Arial" w:eastAsia="Arial" w:hAnsi="Arial"/>
          <w:sz w:val="22"/>
          <w:szCs w:val="22"/>
        </w:rPr>
        <w:t xml:space="preserve">Tổng: 40 → 55 luồng. Bỏ 3, đổi tên hoặc gộp 16, thêm 30, giữ nguyên 18.</w:t>
      </w:r>
    </w:p>
    <w:p>
      <w:pPr>
        <w:spacing w:after="120"/>
      </w:pPr>
      <w:r>
        <w:rPr>
          <w:rFonts w:ascii="Arial" w:cs="Arial" w:eastAsia="Arial" w:hAnsi="Arial"/>
          <w:sz w:val="22"/>
          <w:szCs w:val="22"/>
        </w:rPr>
        <w:t xml:space="preserve">Quy tắc của v2: mỗi luồng phải trỏ tới ít nhất một UC, và mỗi UC có dữ liệu đi qua biên hệ thống phải có trong ít nhất một luồng. Mã UC của từng luồng xem ở UCMS_UseCase_Model_v2.md §15.</w:t>
      </w:r>
    </w:p>
    <w:p>
      <w:pPr>
        <w:pStyle w:val="Heading1"/>
      </w:pPr>
      <w:r>
        <w:t xml:space="preserve">Hai sơ đồ</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c>
          <w:tcPr>
            <w:tcW w:type="dxa" w:w="7419"/>
            <w:tcBorders>
              <w:top w:val="single" w:color="999999" w:sz="4"/>
              <w:left w:val="single" w:color="999999" w:sz="4"/>
              <w:bottom w:val="single" w:color="999999" w:sz="4"/>
              <w:right w:val="single" w:color="999999" w:sz="4"/>
            </w:tcBorders>
            <w:tcMar>
              <w:top w:type="dxa" w:w="80"/>
              <w:left w:type="dxa" w:w="80"/>
              <w:bottom w:type="dxa" w:w="80"/>
              <w:right w:type="dxa" w:w="80"/>
            </w:tcMar>
          </w:tcPr>
          <w:p>
            <w:pPr>
              <w:jc w:val="center"/>
            </w:pPr>
            <w:r>
              <w:rPr>
                <w:rFonts w:ascii="Arial" w:cs="Arial" w:eastAsia="Arial" w:hAnsi="Arial"/>
                <w:b/>
                <w:bCs/>
                <w:sz w:val="22"/>
                <w:szCs w:val="22"/>
              </w:rPr>
              <w:t xml:space="preserve">v1 — 40 luồng</w:t>
            </w:r>
          </w:p>
          <w:p>
            <w:pPr>
              <w:jc w:val="center"/>
            </w:pPr>
            <w:r>
              <w:drawing>
                <wp:inline distT="0" distB="0" distL="0" distR="0">
                  <wp:extent cx="44767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924300"/>
                          </a:xfrm>
                          <a:prstGeom prst="rect">
                            <a:avLst/>
                          </a:prstGeom>
                        </pic:spPr>
                      </pic:pic>
                    </a:graphicData>
                  </a:graphic>
                </wp:inline>
              </w:drawing>
            </w:r>
          </w:p>
        </w:tc>
        <w:tc>
          <w:tcPr>
            <w:tcW w:type="dxa" w:w="7419"/>
            <w:tcBorders>
              <w:top w:val="single" w:color="999999" w:sz="4"/>
              <w:left w:val="single" w:color="999999" w:sz="4"/>
              <w:bottom w:val="single" w:color="999999" w:sz="4"/>
              <w:right w:val="single" w:color="999999" w:sz="4"/>
            </w:tcBorders>
            <w:tcMar>
              <w:top w:type="dxa" w:w="80"/>
              <w:left w:type="dxa" w:w="80"/>
              <w:bottom w:type="dxa" w:w="80"/>
              <w:right w:type="dxa" w:w="80"/>
            </w:tcMar>
          </w:tcPr>
          <w:p>
            <w:pPr>
              <w:jc w:val="center"/>
            </w:pPr>
            <w:r>
              <w:rPr>
                <w:rFonts w:ascii="Arial" w:cs="Arial" w:eastAsia="Arial" w:hAnsi="Arial"/>
                <w:b/>
                <w:bCs/>
                <w:sz w:val="22"/>
                <w:szCs w:val="22"/>
              </w:rPr>
              <w:t xml:space="preserve">v2 — 55 luồng</w:t>
            </w:r>
          </w:p>
          <w:p>
            <w:pPr>
              <w:jc w:val="center"/>
            </w:pPr>
            <w:r>
              <w:drawing>
                <wp:inline distT="0" distB="0" distL="0" distR="0">
                  <wp:extent cx="447675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410075"/>
                          </a:xfrm>
                          <a:prstGeom prst="rect">
                            <a:avLst/>
                          </a:prstGeom>
                        </pic:spPr>
                      </pic:pic>
                    </a:graphicData>
                  </a:graphic>
                </wp:inline>
              </w:drawing>
            </w:r>
          </w:p>
        </w:tc>
      </w:tr>
    </w:tbl>
    <w:p>
      <w:pPr>
        <w:spacing w:after="120"/>
      </w:pPr>
      <w:r>
        <w:rPr>
          <w:rFonts w:ascii="Arial" w:cs="Arial" w:eastAsia="Arial" w:hAnsi="Arial"/>
          <w:sz w:val="22"/>
          <w:szCs w:val="22"/>
        </w:rPr>
        <w:t xml:space="preserve">Ảnh được xuất ở độ phân giải cao, phóng to để đọc nhãn.</w:t>
      </w:r>
    </w:p>
    <w:p>
      <w:r>
        <w:br w:type="page"/>
      </w:r>
    </w:p>
    <w:p>
      <w:pPr>
        <w:pStyle w:val="Heading1"/>
      </w:pPr>
      <w:r>
        <w:t xml:space="preserve">So sánh từng luồng</w:t>
      </w:r>
    </w:p>
    <w:p>
      <w:pPr>
        <w:spacing w:after="120"/>
      </w:pPr>
      <w:r>
        <w:rPr>
          <w:rFonts w:ascii="Arial" w:cs="Arial" w:eastAsia="Arial" w:hAnsi="Arial"/>
          <w:sz w:val="22"/>
          <w:szCs w:val="22"/>
        </w:rPr>
        <w:t xml:space="preserve">Màu cột Thay đổi: xanh = thêm, đỏ = bỏ, vàng = đổi tên / gộp / mở rộng, trắng = giữ.</w:t>
      </w:r>
    </w:p>
    <w:p>
      <w:pPr>
        <w:pStyle w:val="Heading2"/>
        <w:spacing w:after="120" w:before="240"/>
      </w:pPr>
      <w:r>
        <w:t xml:space="preserve">Student → Hệ thống (6 → 7)</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600"/>
        <w:gridCol w:w="5758"/>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v1</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v2</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Thay đổi</w:t>
            </w:r>
          </w:p>
        </w:tc>
        <w:tc>
          <w:tcPr>
            <w:tcW w:type="dxa" w:w="575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Lý do</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establishment request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establishment application</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Đổi tên</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Khớp tên UC07 Submit a club establishment application</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Recruitment application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Recruitment application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UC17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Leave club request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Leave club request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UC22</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registration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registration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UC29</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feedback</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feedback</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UC50</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complaint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complaint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UC52</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Event check-in</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UC31: sinh viên check-in là dữ liệu đi vào hệ thống (I18)</w:t>
            </w:r>
          </w:p>
        </w:tc>
      </w:tr>
    </w:tbl>
    <w:p>
      <w:pPr>
        <w:pStyle w:val="Heading2"/>
        <w:spacing w:after="120" w:before="240"/>
      </w:pPr>
      <w:r>
        <w:t xml:space="preserve">Hệ thống → Student (4 → 3)</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600"/>
        <w:gridCol w:w="5758"/>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v1</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v2</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Thay đổi</w:t>
            </w:r>
          </w:p>
        </w:tc>
        <w:tc>
          <w:tcPr>
            <w:tcW w:type="dxa" w:w="575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Lý do</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Clubs information + Events information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Clubs &amp; events information</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Gộp</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Cùng loại dữ liệu công khai, đều thuộc UC06 và UC24</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Student profile information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Student profile information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UC01, UC02</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Membership's club status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Application results &amp; revision requests</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Đổi và mở rộng</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v1 chỉ có trạng thái membership. Sinh viên còn nhận kết quả hoặc yêu cầu sửa đơn thành lập club (UC08) và đơn gia nhập (UC18) (I18)</w:t>
            </w:r>
          </w:p>
        </w:tc>
      </w:tr>
    </w:tbl>
    <w:p>
      <w:pPr>
        <w:pStyle w:val="Heading2"/>
        <w:spacing w:after="120" w:before="240"/>
      </w:pPr>
      <w:r>
        <w:t xml:space="preserve">CMB → Hệ thống (11 → 17)</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600"/>
        <w:gridCol w:w="5758"/>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v1</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v2</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Thay đổi</w:t>
            </w:r>
          </w:p>
        </w:tc>
        <w:tc>
          <w:tcPr>
            <w:tcW w:type="dxa" w:w="575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Lý do</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profile &amp; organization structure setup</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profile &amp; structure setup</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Rút gọn</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UC09, nhãn ngắn hơn cho vừa sơ đồ</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Leadership transition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Leadership transition plan</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Đổi tên</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UC12 là lập kế hoạch, còn xác nhận là việc của ICPDP (UC13)</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Recruit configuration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Recruitment configuration</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Sửa chính tả</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UC16</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Recruitment candidate result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Candidate decisions</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Đổi tên</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Phủ cả sàng lọc, đánh giá và nhận vào (UC18, UC19, UC20)</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Member management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Member management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UC21, UC23</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proposal</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proposal</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UC25</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publishment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publishment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UC27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Post-event report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Post-event report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UC33</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Expense &amp; financial report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Expense &amp; evidence</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Đổi tên</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Không UC nào tạo ra "financial report"; UC38 là Record an expense with its evidence (I20)</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Periodic report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Periodic report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UC40</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Property booking request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Property booking request / cancellation</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Mở rộng</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Thêm việc huỷ hoặc trả booking (UC49) (I17)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Board nomination</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UC10 (I17)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Suspension request</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UC14, review chưa ghi, phát hiện khi áp quy tắc</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Event cancellation / reschedule</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UC28 (I17)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Waitlist &amp; attendance finalization</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UC32 (I17), cộng UC30 (phát hiện thêm)</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Budget request</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UC35 (I17)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Complaint response</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UC54 (I17)</w:t>
            </w:r>
          </w:p>
        </w:tc>
      </w:tr>
    </w:tbl>
    <w:p>
      <w:pPr>
        <w:pStyle w:val="Heading2"/>
        <w:spacing w:after="120" w:before="240"/>
      </w:pPr>
      <w:r>
        <w:t xml:space="preserve">Hệ thống → CMB (6 → 6)</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600"/>
        <w:gridCol w:w="5758"/>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v1</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v2</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Thay đổi</w:t>
            </w:r>
          </w:p>
        </w:tc>
        <w:tc>
          <w:tcPr>
            <w:tcW w:type="dxa" w:w="575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Lý do</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status notification + Property booking status + Revision request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Review decisions &amp; revision requests</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Gộp</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Đều là kết quả duyệt của ICPDP gửi về CMB. Luồng này bổ sung thêm board (UC11), transition (UC13), budget (UC36), report (UC34, UC41) (I17)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feedback</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feedback</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UC51</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Deadline reminder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Deadline reminder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UC04</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evaluation result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evaluation result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UC45</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Membership applications</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CMB nhận đơn gia nhập (UC17 → UC18) (I17)</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Forwarded complaint</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UC53 → UC54 (I17)</w:t>
            </w:r>
          </w:p>
        </w:tc>
      </w:tr>
    </w:tbl>
    <w:p>
      <w:pPr>
        <w:pStyle w:val="Heading2"/>
        <w:spacing w:after="120" w:before="240"/>
      </w:pPr>
      <w:r>
        <w:t xml:space="preserve">ICPDP → Hệ thống (3 → 8)</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600"/>
        <w:gridCol w:w="5758"/>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v1</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v2</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Thay đổi</w:t>
            </w:r>
          </w:p>
        </w:tc>
        <w:tc>
          <w:tcPr>
            <w:tcW w:type="dxa" w:w="575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Lý do</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approval decision + Club application review decision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Review decisions</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Gộp và mở rộng</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Một luồng cho mọi quyết định duyệt: UC08, 11, 13, 26, 34, 36, 41, 48 (I15)</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evaluation scoring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Evaluation scheme &amp; scoring</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Mở rộng</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Thêm cấu hình scheme (UC43), cùng với UC45</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Accounts, policy &amp; routing config</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UC03, UC04 (I15), cộng UC05 (phát hiện thêm)</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Club status action</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Suspend, reactivate, dissolve (UC15) (I15)</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Disbursement &amp; reconciliation</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UC37, UC39 (I15)</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Property catalogue</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UC46 (I15)</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Complaint triage</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UC53</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Violation cases</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UC42, phát hiện thêm</w:t>
            </w:r>
          </w:p>
        </w:tc>
      </w:tr>
    </w:tbl>
    <w:p>
      <w:pPr>
        <w:pStyle w:val="Heading2"/>
        <w:spacing w:after="120" w:before="240"/>
      </w:pPr>
      <w:r>
        <w:t xml:space="preserve">Hệ thống → ICPDP (8 → 11)</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600"/>
        <w:gridCol w:w="5758"/>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v1</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v2</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Thay đổi</w:t>
            </w:r>
          </w:p>
        </w:tc>
        <w:tc>
          <w:tcPr>
            <w:tcW w:type="dxa" w:w="575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Lý do</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Club's leadership information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Board nomination</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Đổi tên</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Tên v1 mơ hồ; dữ liệu thật là đề cử board chờ ICPDP xác nhận (UC10 → UC11)</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transition notification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Leadership transition plan</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Đổi tên</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Không phải thông báo mà là hồ sơ chờ ICPDP xác nhận (UC12 → UC13)</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evaluation report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Evaluation draft</w:t>
            </w:r>
          </w:p>
        </w:tc>
        <w:tc>
          <w:tcPr>
            <w:tcW w:type="dxa" w:w="1600"/>
            <w:tcBorders>
              <w:top w:val="single" w:color="999999" w:sz="4"/>
              <w:left w:val="single" w:color="999999" w:sz="4"/>
              <w:bottom w:val="single" w:color="999999" w:sz="4"/>
              <w:right w:val="single" w:color="999999" w:sz="4"/>
            </w:tcBorders>
            <w:shd w:fill="FFF2CC" w:color="auto" w:val="clear"/>
            <w:tcMar>
              <w:top w:type="dxa" w:w="60"/>
              <w:left w:type="dxa" w:w="100"/>
              <w:bottom w:type="dxa" w:w="60"/>
              <w:right w:type="dxa" w:w="100"/>
            </w:tcMar>
          </w:tcPr>
          <w:p>
            <w:r>
              <w:rPr>
                <w:rFonts w:ascii="Arial" w:cs="Arial" w:eastAsia="Arial" w:hAnsi="Arial"/>
                <w:b w:val="false"/>
                <w:bCs w:val="false"/>
                <w:sz w:val="20"/>
                <w:szCs w:val="20"/>
              </w:rPr>
              <w:t xml:space="preserve">Đổi tên</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Khớp output của UC44</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Property booking request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Property booking request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UC47 → UC48</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Periodic reports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Periodic reports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UC40 → UC41</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Event registration list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600"/>
            <w:tcBorders>
              <w:top w:val="single" w:color="999999" w:sz="4"/>
              <w:left w:val="single" w:color="999999" w:sz="4"/>
              <w:bottom w:val="single" w:color="999999" w:sz="4"/>
              <w:right w:val="single" w:color="999999" w:sz="4"/>
            </w:tcBorders>
            <w:shd w:fill="F8D7DA" w:color="auto" w:val="clear"/>
            <w:tcMar>
              <w:top w:type="dxa" w:w="60"/>
              <w:left w:type="dxa" w:w="100"/>
              <w:bottom w:type="dxa" w:w="60"/>
              <w:right w:type="dxa" w:w="100"/>
            </w:tcMar>
          </w:tcPr>
          <w:p>
            <w:r>
              <w:rPr>
                <w:rFonts w:ascii="Arial" w:cs="Arial" w:eastAsia="Arial" w:hAnsi="Arial"/>
                <w:b w:val="false"/>
                <w:bCs w:val="false"/>
                <w:sz w:val="20"/>
                <w:szCs w:val="20"/>
              </w:rPr>
              <w:t xml:space="preserve">Bỏ</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Không UC nào của ICPDP dùng, dashboard UC02 cũng không có (I19)</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recruitment result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600"/>
            <w:tcBorders>
              <w:top w:val="single" w:color="999999" w:sz="4"/>
              <w:left w:val="single" w:color="999999" w:sz="4"/>
              <w:bottom w:val="single" w:color="999999" w:sz="4"/>
              <w:right w:val="single" w:color="999999" w:sz="4"/>
            </w:tcBorders>
            <w:shd w:fill="F8D7DA" w:color="auto" w:val="clear"/>
            <w:tcMar>
              <w:top w:type="dxa" w:w="60"/>
              <w:left w:type="dxa" w:w="100"/>
              <w:bottom w:type="dxa" w:w="60"/>
              <w:right w:type="dxa" w:w="100"/>
            </w:tcMar>
          </w:tcPr>
          <w:p>
            <w:r>
              <w:rPr>
                <w:rFonts w:ascii="Arial" w:cs="Arial" w:eastAsia="Arial" w:hAnsi="Arial"/>
                <w:b w:val="false"/>
                <w:bCs w:val="false"/>
                <w:sz w:val="20"/>
                <w:szCs w:val="20"/>
              </w:rPr>
              <w:t xml:space="preserve">Bỏ</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Như trên (I19)</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Club and event feedback</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600"/>
            <w:tcBorders>
              <w:top w:val="single" w:color="999999" w:sz="4"/>
              <w:left w:val="single" w:color="999999" w:sz="4"/>
              <w:bottom w:val="single" w:color="999999" w:sz="4"/>
              <w:right w:val="single" w:color="999999" w:sz="4"/>
            </w:tcBorders>
            <w:shd w:fill="F8D7DA" w:color="auto" w:val="clear"/>
            <w:tcMar>
              <w:top w:type="dxa" w:w="60"/>
              <w:left w:type="dxa" w:w="100"/>
              <w:bottom w:type="dxa" w:w="60"/>
              <w:right w:type="dxa" w:w="100"/>
            </w:tcMar>
          </w:tcPr>
          <w:p>
            <w:r>
              <w:rPr>
                <w:rFonts w:ascii="Arial" w:cs="Arial" w:eastAsia="Arial" w:hAnsi="Arial"/>
                <w:b w:val="false"/>
                <w:bCs w:val="false"/>
                <w:sz w:val="20"/>
                <w:szCs w:val="20"/>
              </w:rPr>
              <w:t xml:space="preserve">Bỏ</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UC44 đọc feedback bên trong hệ thống, ICPDP không nhận nó như một luồng; nguồn thật là Student → Event feedback (I19)</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Club establishment application</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UC07 → UC08 (I16)</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Suspension request</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UC14 → UC15, phát hiện thêm</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Event proposal</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UC25 → UC26 (I16)</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Post-event report</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UC33 → UC34 (I16)</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Budget request &amp; expenses</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UC35 → UC36, UC38 → UC39 (I16)</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Club complaint</w:t>
            </w:r>
          </w:p>
        </w:tc>
        <w:tc>
          <w:tcPr>
            <w:tcW w:type="dxa" w:w="1600"/>
            <w:tcBorders>
              <w:top w:val="single" w:color="999999" w:sz="4"/>
              <w:left w:val="single" w:color="999999" w:sz="4"/>
              <w:bottom w:val="single" w:color="999999" w:sz="4"/>
              <w:right w:val="single" w:color="999999" w:sz="4"/>
            </w:tcBorders>
            <w:shd w:fill="E2F0D9" w:color="auto" w:val="clear"/>
            <w:tcMar>
              <w:top w:type="dxa" w:w="60"/>
              <w:left w:type="dxa" w:w="100"/>
              <w:bottom w:type="dxa" w:w="60"/>
              <w:right w:type="dxa" w:w="100"/>
            </w:tcMar>
          </w:tcPr>
          <w:p>
            <w:r>
              <w:rPr>
                <w:rFonts w:ascii="Arial" w:cs="Arial" w:eastAsia="Arial" w:hAnsi="Arial"/>
                <w:b w:val="false"/>
                <w:bCs w:val="false"/>
                <w:sz w:val="20"/>
                <w:szCs w:val="20"/>
              </w:rPr>
              <w:t xml:space="preserve">Thêm</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UC52 → UC53: theo BR38, complaint đi thẳng tới ICPDP (I16)</w:t>
            </w:r>
          </w:p>
        </w:tc>
      </w:tr>
    </w:tbl>
    <w:p>
      <w:pPr>
        <w:pStyle w:val="Heading2"/>
        <w:spacing w:after="120" w:before="240"/>
      </w:pPr>
      <w:r>
        <w:t xml:space="preserve">Google OAuth / SMTP (3 → 3)</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600"/>
        <w:gridCol w:w="5758"/>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v1</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v2</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Thay đổi</w:t>
            </w:r>
          </w:p>
        </w:tc>
        <w:tc>
          <w:tcPr>
            <w:tcW w:type="dxa" w:w="575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Lý do</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Authentication request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Authentication request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UC01</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Authentication data</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Authentication data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UC01</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Send email request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Send email request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Giữ</w:t>
            </w:r>
          </w:p>
        </w:tc>
        <w:tc>
          <w:tcPr>
            <w:tcW w:type="dxa" w:w="57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Mọi thông báo gửi qua email</w:t>
            </w:r>
          </w:p>
        </w:tc>
      </w:tr>
    </w:tbl>
    <w:p>
      <w:pPr>
        <w:pStyle w:val="Heading1"/>
        <w:spacing w:before="360"/>
      </w:pPr>
      <w:r>
        <w:t xml:space="preserve">Lý do chung</w:t>
      </w:r>
    </w:p>
    <w:p>
      <w:pPr>
        <w:spacing w:after="120"/>
      </w:pPr>
      <w:r>
        <w:rPr>
          <w:rFonts w:ascii="Arial" w:cs="Arial" w:eastAsia="Arial" w:hAnsi="Arial"/>
          <w:sz w:val="22"/>
          <w:szCs w:val="22"/>
        </w:rPr>
        <w:t xml:space="preserve">v1 được vẽ trước khi có danh sách 54 UC của v2, nên không truy vết được sang UC. Hệ quả là hai chiều lệch nhau:</w:t>
      </w:r>
    </w:p>
    <w:p>
      <w:pPr>
        <w:pStyle w:val="ListParagraph"/>
        <w:numPr>
          <w:ilvl w:val="0"/>
          <w:numId w:val="1"/>
        </w:numPr>
        <w:spacing w:after="120"/>
      </w:pPr>
      <w:r>
        <w:rPr>
          <w:rFonts w:ascii="Arial" w:cs="Arial" w:eastAsia="Arial" w:hAnsi="Arial"/>
          <w:sz w:val="22"/>
          <w:szCs w:val="22"/>
        </w:rPr>
        <w:t xml:space="preserve">Thiếu luồng: ICPDP chỉ có 3 luồng quyết định dù thực tế duyệt 8 loại hồ sơ. Các hồ sơ CMB nộp cũng không có luồng đi tới ICPDP (I15–I18).</w:t>
      </w:r>
    </w:p>
    <w:p>
      <w:pPr>
        <w:pStyle w:val="ListParagraph"/>
        <w:numPr>
          <w:ilvl w:val="0"/>
          <w:numId w:val="1"/>
        </w:numPr>
        <w:spacing w:after="120"/>
      </w:pPr>
      <w:r>
        <w:rPr>
          <w:rFonts w:ascii="Arial" w:cs="Arial" w:eastAsia="Arial" w:hAnsi="Arial"/>
          <w:sz w:val="22"/>
          <w:szCs w:val="22"/>
        </w:rPr>
        <w:t xml:space="preserve">Thừa luồng: 3 luồng không UC nào tạo ra hoặc dùng tới, và 1 nhãn đặt sai tên (I19, I20).</w:t>
      </w:r>
    </w:p>
    <w:p>
      <w:pPr>
        <w:spacing w:after="120"/>
      </w:pPr>
      <w:r>
        <w:rPr>
          <w:rFonts w:ascii="Arial" w:cs="Arial" w:eastAsia="Arial" w:hAnsi="Arial"/>
          <w:sz w:val="22"/>
          <w:szCs w:val="22"/>
        </w:rPr>
        <w:t xml:space="preserve">v2 sửa cả hai chiều bằng một quy tắc duy nhất. Luồng được gộp theo loại dữ liệu để sơ đồ còn đọc được: 55 luồng, thay vì khoảng 80 nếu vẽ mỗi UC một luồng.</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60a4b5b161db05437422c38b55df522e8b5be4.png"/><Relationship Id="rId8" Type="http://schemas.openxmlformats.org/officeDocument/2006/relationships/image" Target="media/4f2d2d5feb55a3b96969b2e169e231456877b2f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2026-09-23T16:58:19.414Z</dcterms:created>
  <dcterms:modified xsi:type="dcterms:W3CDTF">2026-09-23T16:58:19.415Z</dcterms:modified>
</cp:coreProperties>
</file>

<file path=docProps/custom.xml><?xml version="1.0" encoding="utf-8"?>
<Properties xmlns="http://schemas.openxmlformats.org/officeDocument/2006/custom-properties" xmlns:vt="http://schemas.openxmlformats.org/officeDocument/2006/docPropsVTypes"/>
</file>