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9E4A" w14:textId="77777777" w:rsidR="00D65992" w:rsidRPr="00D65992" w:rsidRDefault="00D65992" w:rsidP="00D65992">
      <w:pPr>
        <w:rPr>
          <w:b/>
          <w:bCs/>
        </w:rPr>
      </w:pPr>
      <w:r w:rsidRPr="00D65992">
        <w:rPr>
          <w:b/>
          <w:bCs/>
        </w:rPr>
        <w:t>Analyse de la Matrice de Corrélation des Prix du GNR en France</w:t>
      </w:r>
    </w:p>
    <w:p w14:paraId="68A69E4B" w14:textId="77777777" w:rsidR="00D65992" w:rsidRPr="00D65992" w:rsidRDefault="00D65992" w:rsidP="00D65992">
      <w:pPr>
        <w:rPr>
          <w:b/>
          <w:bCs/>
        </w:rPr>
      </w:pPr>
      <w:r w:rsidRPr="00D65992">
        <w:rPr>
          <w:b/>
          <w:bCs/>
        </w:rPr>
        <w:t>Introduction</w:t>
      </w:r>
    </w:p>
    <w:p w14:paraId="68A69E4C" w14:textId="77777777" w:rsidR="00D65992" w:rsidRPr="00D65992" w:rsidRDefault="00D65992" w:rsidP="00D65992">
      <w:r w:rsidRPr="00D65992">
        <w:t>Ce document présente une analyse détaillée de la matrice de corrélation des prix du Gasoil Non Routier (GNR) en France, basée sur des données agrégées par région et par date. L'objectif est d'identifier les principaux facteurs influençant les variations de prix du GNR et de comprendre les dynamiques sous-jacentes du marché.</w:t>
      </w:r>
    </w:p>
    <w:p w14:paraId="68A69E4D" w14:textId="77777777" w:rsidR="00D65992" w:rsidRPr="00D65992" w:rsidRDefault="00D65992" w:rsidP="00D65992">
      <w:pPr>
        <w:rPr>
          <w:b/>
          <w:bCs/>
        </w:rPr>
      </w:pPr>
      <w:r w:rsidRPr="00D65992">
        <w:rPr>
          <w:b/>
          <w:bCs/>
        </w:rPr>
        <w:t>Méthodologie</w:t>
      </w:r>
    </w:p>
    <w:p w14:paraId="68A69E4E" w14:textId="77777777" w:rsidR="00D65992" w:rsidRDefault="00D65992" w:rsidP="00D65992">
      <w:r w:rsidRPr="00D65992">
        <w:t>Les données ont été agrégées par région et par date, avec des transformations appropriées appliquées aux autres variables. Cette approche permet une analyse des tendances générales et des relations entre les variables à l'échelle régionale.</w:t>
      </w:r>
    </w:p>
    <w:p w14:paraId="036518F8" w14:textId="77777777" w:rsidR="00F607E0" w:rsidRDefault="00F607E0" w:rsidP="00D65992"/>
    <w:p w14:paraId="1922C855" w14:textId="75A3DD59" w:rsidR="00F607E0" w:rsidRPr="00D65992" w:rsidRDefault="00F607E0" w:rsidP="00D65992">
      <w:r>
        <w:rPr>
          <w:noProof/>
        </w:rPr>
        <w:drawing>
          <wp:inline distT="0" distB="0" distL="0" distR="0" wp14:anchorId="08F1315E" wp14:editId="177518F5">
            <wp:extent cx="5760720" cy="5218430"/>
            <wp:effectExtent l="0" t="0" r="0" b="1270"/>
            <wp:docPr id="19679404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68A69E4F" w14:textId="77777777" w:rsidR="00D65992" w:rsidRPr="00D65992" w:rsidRDefault="00D65992" w:rsidP="00D65992">
      <w:pPr>
        <w:rPr>
          <w:b/>
          <w:bCs/>
        </w:rPr>
      </w:pPr>
      <w:r w:rsidRPr="00D65992">
        <w:rPr>
          <w:b/>
          <w:bCs/>
        </w:rPr>
        <w:t>Analyse des Corrélations</w:t>
      </w:r>
    </w:p>
    <w:p w14:paraId="68A69E50" w14:textId="77777777" w:rsidR="00D65992" w:rsidRPr="00D65992" w:rsidRDefault="00D65992" w:rsidP="00D65992">
      <w:pPr>
        <w:rPr>
          <w:b/>
          <w:bCs/>
        </w:rPr>
      </w:pPr>
      <w:r w:rsidRPr="00D65992">
        <w:rPr>
          <w:b/>
          <w:bCs/>
        </w:rPr>
        <w:t>1. Facteurs Fortement Corrélés avec le Prix du GNR (|r| &gt; 0.5)</w:t>
      </w:r>
    </w:p>
    <w:p w14:paraId="68A69E51" w14:textId="77777777" w:rsidR="00D65992" w:rsidRPr="00D65992" w:rsidRDefault="00D65992" w:rsidP="00D65992">
      <w:r w:rsidRPr="00D65992">
        <w:lastRenderedPageBreak/>
        <w:t xml:space="preserve">a) </w:t>
      </w:r>
      <w:proofErr w:type="spellStart"/>
      <w:r w:rsidRPr="00D65992">
        <w:t>indice_CNR</w:t>
      </w:r>
      <w:proofErr w:type="spellEnd"/>
      <w:r w:rsidRPr="00D65992">
        <w:t xml:space="preserve"> : 0.617</w:t>
      </w:r>
    </w:p>
    <w:p w14:paraId="68A69E52" w14:textId="77777777" w:rsidR="00D65992" w:rsidRPr="00D65992" w:rsidRDefault="00D65992" w:rsidP="00D65992">
      <w:pPr>
        <w:numPr>
          <w:ilvl w:val="0"/>
          <w:numId w:val="1"/>
        </w:numPr>
      </w:pPr>
      <w:r w:rsidRPr="00D65992">
        <w:t>Forte corrélation positive indiquant une influence significative de l'indice CNR sur les prix du GNR.</w:t>
      </w:r>
    </w:p>
    <w:p w14:paraId="68A69E53" w14:textId="77777777" w:rsidR="00D65992" w:rsidRPr="00D65992" w:rsidRDefault="00D65992" w:rsidP="00D65992">
      <w:r w:rsidRPr="00D65992">
        <w:t>b) Taux de change :</w:t>
      </w:r>
    </w:p>
    <w:p w14:paraId="68A69E54" w14:textId="77777777" w:rsidR="00D65992" w:rsidRPr="00D65992" w:rsidRDefault="00D65992" w:rsidP="00D65992">
      <w:pPr>
        <w:numPr>
          <w:ilvl w:val="0"/>
          <w:numId w:val="2"/>
        </w:numPr>
      </w:pPr>
      <w:proofErr w:type="spellStart"/>
      <w:r w:rsidRPr="00D65992">
        <w:t>USD_to_EUR</w:t>
      </w:r>
      <w:proofErr w:type="spellEnd"/>
      <w:r w:rsidRPr="00D65992">
        <w:t xml:space="preserve"> : -0.604</w:t>
      </w:r>
    </w:p>
    <w:p w14:paraId="68A69E55" w14:textId="77777777" w:rsidR="00D65992" w:rsidRPr="00D65992" w:rsidRDefault="00D65992" w:rsidP="00D65992">
      <w:pPr>
        <w:numPr>
          <w:ilvl w:val="0"/>
          <w:numId w:val="2"/>
        </w:numPr>
      </w:pPr>
      <w:proofErr w:type="spellStart"/>
      <w:r w:rsidRPr="00D65992">
        <w:t>EUR_to_USD</w:t>
      </w:r>
      <w:proofErr w:type="spellEnd"/>
      <w:r w:rsidRPr="00D65992">
        <w:t xml:space="preserve"> : 0.599</w:t>
      </w:r>
    </w:p>
    <w:p w14:paraId="68A69E56" w14:textId="77777777" w:rsidR="00D65992" w:rsidRPr="00D65992" w:rsidRDefault="00D65992" w:rsidP="00D65992">
      <w:pPr>
        <w:numPr>
          <w:ilvl w:val="0"/>
          <w:numId w:val="2"/>
        </w:numPr>
      </w:pPr>
      <w:r w:rsidRPr="00D65992">
        <w:t>Ces corrélations opposées soulignent l'impact important des fluctuations de change sur les prix.</w:t>
      </w:r>
    </w:p>
    <w:p w14:paraId="68A69E57" w14:textId="77777777" w:rsidR="00D65992" w:rsidRPr="00D65992" w:rsidRDefault="00D65992" w:rsidP="00D65992">
      <w:r w:rsidRPr="00D65992">
        <w:t xml:space="preserve">c) </w:t>
      </w:r>
      <w:proofErr w:type="spellStart"/>
      <w:r w:rsidRPr="00D65992">
        <w:t>cours_baril_en_USD</w:t>
      </w:r>
      <w:proofErr w:type="spellEnd"/>
      <w:r w:rsidRPr="00D65992">
        <w:t xml:space="preserve"> : 0.612</w:t>
      </w:r>
    </w:p>
    <w:p w14:paraId="68A69E58" w14:textId="77777777" w:rsidR="00D65992" w:rsidRPr="00D65992" w:rsidRDefault="00D65992" w:rsidP="00D65992">
      <w:pPr>
        <w:numPr>
          <w:ilvl w:val="0"/>
          <w:numId w:val="3"/>
        </w:numPr>
      </w:pPr>
      <w:r w:rsidRPr="00D65992">
        <w:t>Forte corrélation positive reflétant l'influence directe du cours du pétrole sur les prix du GNR.</w:t>
      </w:r>
    </w:p>
    <w:p w14:paraId="68A69E59" w14:textId="77777777" w:rsidR="00D65992" w:rsidRPr="00D65992" w:rsidRDefault="00D65992" w:rsidP="00D65992">
      <w:pPr>
        <w:rPr>
          <w:b/>
          <w:bCs/>
        </w:rPr>
      </w:pPr>
      <w:r w:rsidRPr="00D65992">
        <w:rPr>
          <w:b/>
          <w:bCs/>
        </w:rPr>
        <w:t>2. Facteurs Modérément Corrélés (-0.5 &lt; r &lt; -0.3)</w:t>
      </w:r>
    </w:p>
    <w:p w14:paraId="68A69E5A" w14:textId="77777777" w:rsidR="00D65992" w:rsidRPr="00D65992" w:rsidRDefault="00D65992" w:rsidP="00D65992">
      <w:r w:rsidRPr="00D65992">
        <w:t>a) Nombre d'entreprises (tous types) :</w:t>
      </w:r>
    </w:p>
    <w:p w14:paraId="68A69E5B" w14:textId="77777777" w:rsidR="00D65992" w:rsidRPr="00D65992" w:rsidRDefault="00D65992" w:rsidP="00D65992">
      <w:pPr>
        <w:numPr>
          <w:ilvl w:val="0"/>
          <w:numId w:val="4"/>
        </w:numPr>
      </w:pPr>
      <w:r w:rsidRPr="00D65992">
        <w:t>Corrélations négatives modérées, suggérant des prix légèrement plus bas dans les régions à forte activité économique.</w:t>
      </w:r>
    </w:p>
    <w:p w14:paraId="68A69E5C" w14:textId="77777777" w:rsidR="00D65992" w:rsidRPr="00D65992" w:rsidRDefault="00D65992" w:rsidP="00D65992">
      <w:r w:rsidRPr="00D65992">
        <w:t>b) Population : -0.356</w:t>
      </w:r>
    </w:p>
    <w:p w14:paraId="68A69E5D" w14:textId="77777777" w:rsidR="00D65992" w:rsidRPr="00D65992" w:rsidRDefault="00D65992" w:rsidP="00D65992">
      <w:pPr>
        <w:numPr>
          <w:ilvl w:val="0"/>
          <w:numId w:val="5"/>
        </w:numPr>
      </w:pPr>
      <w:r w:rsidRPr="00D65992">
        <w:t>Corrélation négative modérée, indiquant une tendance à des prix plus bas dans les régions plus peuplées.</w:t>
      </w:r>
    </w:p>
    <w:p w14:paraId="68A69E5E" w14:textId="77777777" w:rsidR="00D65992" w:rsidRPr="00D65992" w:rsidRDefault="00D65992" w:rsidP="00D65992">
      <w:pPr>
        <w:rPr>
          <w:b/>
          <w:bCs/>
        </w:rPr>
      </w:pPr>
      <w:r w:rsidRPr="00D65992">
        <w:rPr>
          <w:b/>
          <w:bCs/>
        </w:rPr>
        <w:t>3. Facteurs Faiblement Corrélés (|r| &lt; 0.3)</w:t>
      </w:r>
    </w:p>
    <w:p w14:paraId="68A69E5F" w14:textId="77777777" w:rsidR="00D65992" w:rsidRPr="00D65992" w:rsidRDefault="00D65992" w:rsidP="00D65992">
      <w:pPr>
        <w:numPr>
          <w:ilvl w:val="0"/>
          <w:numId w:val="6"/>
        </w:numPr>
      </w:pPr>
      <w:r w:rsidRPr="00D65992">
        <w:t xml:space="preserve">Latitude, longitude, surface, densité de population </w:t>
      </w:r>
    </w:p>
    <w:p w14:paraId="68A69E60" w14:textId="77777777" w:rsidR="00D65992" w:rsidRPr="00D65992" w:rsidRDefault="00D65992" w:rsidP="00D65992">
      <w:pPr>
        <w:numPr>
          <w:ilvl w:val="1"/>
          <w:numId w:val="6"/>
        </w:numPr>
      </w:pPr>
      <w:r w:rsidRPr="00D65992">
        <w:t>Corrélations faibles, suggérant un impact minimal des facteurs géographiques sur les prix moyens régionaux.</w:t>
      </w:r>
    </w:p>
    <w:p w14:paraId="68A69E61" w14:textId="77777777" w:rsidR="00D65992" w:rsidRPr="00D65992" w:rsidRDefault="00D65992" w:rsidP="00D65992">
      <w:pPr>
        <w:rPr>
          <w:b/>
          <w:bCs/>
        </w:rPr>
      </w:pPr>
      <w:r w:rsidRPr="00D65992">
        <w:rPr>
          <w:b/>
          <w:bCs/>
        </w:rPr>
        <w:t>Observations Clés</w:t>
      </w:r>
    </w:p>
    <w:p w14:paraId="68A69E62" w14:textId="77777777" w:rsidR="00D65992" w:rsidRPr="00D65992" w:rsidRDefault="00D65992" w:rsidP="00D65992">
      <w:pPr>
        <w:numPr>
          <w:ilvl w:val="0"/>
          <w:numId w:val="7"/>
        </w:numPr>
      </w:pPr>
      <w:r w:rsidRPr="00D65992">
        <w:t xml:space="preserve">Prédominance des Facteurs Économiques : </w:t>
      </w:r>
    </w:p>
    <w:p w14:paraId="68A69E63" w14:textId="77777777" w:rsidR="00D65992" w:rsidRPr="00D65992" w:rsidRDefault="00D65992" w:rsidP="00D65992">
      <w:pPr>
        <w:numPr>
          <w:ilvl w:val="1"/>
          <w:numId w:val="7"/>
        </w:numPr>
      </w:pPr>
      <w:r w:rsidRPr="00D65992">
        <w:t>Les variables macroéconomiques (indice CNR, taux de change, cours du pétrole) sont les principaux déterminants des prix du GNR.</w:t>
      </w:r>
    </w:p>
    <w:p w14:paraId="68A69E64" w14:textId="77777777" w:rsidR="00D65992" w:rsidRPr="00D65992" w:rsidRDefault="00D65992" w:rsidP="00D65992">
      <w:pPr>
        <w:numPr>
          <w:ilvl w:val="0"/>
          <w:numId w:val="7"/>
        </w:numPr>
      </w:pPr>
      <w:r w:rsidRPr="00D65992">
        <w:t xml:space="preserve">Impact de l'Activité Économique Régionale : </w:t>
      </w:r>
    </w:p>
    <w:p w14:paraId="68A69E65" w14:textId="77777777" w:rsidR="00D65992" w:rsidRPr="00D65992" w:rsidRDefault="00D65992" w:rsidP="00D65992">
      <w:pPr>
        <w:numPr>
          <w:ilvl w:val="1"/>
          <w:numId w:val="7"/>
        </w:numPr>
      </w:pPr>
      <w:r w:rsidRPr="00D65992">
        <w:t>Tendance à des prix légèrement plus bas dans les régions plus peuplées et économiquement actives.</w:t>
      </w:r>
    </w:p>
    <w:p w14:paraId="68A69E66" w14:textId="77777777" w:rsidR="00D65992" w:rsidRPr="00D65992" w:rsidRDefault="00D65992" w:rsidP="00D65992">
      <w:pPr>
        <w:numPr>
          <w:ilvl w:val="0"/>
          <w:numId w:val="7"/>
        </w:numPr>
      </w:pPr>
      <w:r w:rsidRPr="00D65992">
        <w:t xml:space="preserve">Influence Limitée des Facteurs Géographiques : </w:t>
      </w:r>
    </w:p>
    <w:p w14:paraId="68A69E67" w14:textId="77777777" w:rsidR="00D65992" w:rsidRPr="00D65992" w:rsidRDefault="00D65992" w:rsidP="00D65992">
      <w:pPr>
        <w:numPr>
          <w:ilvl w:val="1"/>
          <w:numId w:val="7"/>
        </w:numPr>
      </w:pPr>
      <w:r w:rsidRPr="00D65992">
        <w:lastRenderedPageBreak/>
        <w:t>Contrairement aux attentes, la latitude et la longitude ont peu d'impact sur les prix moyens régionaux.</w:t>
      </w:r>
    </w:p>
    <w:p w14:paraId="68A69E68" w14:textId="77777777" w:rsidR="00D65992" w:rsidRPr="00D65992" w:rsidRDefault="00D65992" w:rsidP="00D65992">
      <w:pPr>
        <w:numPr>
          <w:ilvl w:val="0"/>
          <w:numId w:val="7"/>
        </w:numPr>
      </w:pPr>
      <w:r w:rsidRPr="00D65992">
        <w:t xml:space="preserve">Corrélations Inter-variables : </w:t>
      </w:r>
    </w:p>
    <w:p w14:paraId="68A69E69" w14:textId="77777777" w:rsidR="00D65992" w:rsidRPr="00D65992" w:rsidRDefault="00D65992" w:rsidP="00D65992">
      <w:pPr>
        <w:numPr>
          <w:ilvl w:val="1"/>
          <w:numId w:val="7"/>
        </w:numPr>
      </w:pPr>
      <w:r w:rsidRPr="00D65992">
        <w:t>Forte corrélation entre les différentes variables liées au nombre d'entreprises.</w:t>
      </w:r>
    </w:p>
    <w:p w14:paraId="68A69E6A" w14:textId="77777777" w:rsidR="00D65992" w:rsidRPr="00D65992" w:rsidRDefault="00D65992" w:rsidP="00D65992">
      <w:pPr>
        <w:numPr>
          <w:ilvl w:val="1"/>
          <w:numId w:val="7"/>
        </w:numPr>
      </w:pPr>
      <w:r w:rsidRPr="00D65992">
        <w:t>Corrélation positive entre la population et le nombre d'entreprises.</w:t>
      </w:r>
    </w:p>
    <w:p w14:paraId="68A69E6B" w14:textId="77777777" w:rsidR="00D65992" w:rsidRPr="00D65992" w:rsidRDefault="00D65992" w:rsidP="00D65992">
      <w:pPr>
        <w:numPr>
          <w:ilvl w:val="1"/>
          <w:numId w:val="7"/>
        </w:numPr>
      </w:pPr>
      <w:r w:rsidRPr="00D65992">
        <w:t xml:space="preserve">Corrélation négative entre l'indice CNR et </w:t>
      </w:r>
      <w:proofErr w:type="spellStart"/>
      <w:r w:rsidRPr="00D65992">
        <w:t>USD_to_EUR</w:t>
      </w:r>
      <w:proofErr w:type="spellEnd"/>
      <w:r w:rsidRPr="00D65992">
        <w:t xml:space="preserve"> (-0.794).</w:t>
      </w:r>
    </w:p>
    <w:p w14:paraId="68A69E6C" w14:textId="77777777" w:rsidR="00D65992" w:rsidRPr="00D65992" w:rsidRDefault="00D65992" w:rsidP="00D65992">
      <w:pPr>
        <w:rPr>
          <w:b/>
          <w:bCs/>
        </w:rPr>
      </w:pPr>
      <w:r w:rsidRPr="00D65992">
        <w:rPr>
          <w:b/>
          <w:bCs/>
        </w:rPr>
        <w:t>Implications et Interprétations</w:t>
      </w:r>
    </w:p>
    <w:p w14:paraId="68A69E6D" w14:textId="77777777" w:rsidR="00D65992" w:rsidRPr="00D65992" w:rsidRDefault="00D65992" w:rsidP="00D65992">
      <w:pPr>
        <w:numPr>
          <w:ilvl w:val="0"/>
          <w:numId w:val="8"/>
        </w:numPr>
      </w:pPr>
      <w:r w:rsidRPr="00D65992">
        <w:t xml:space="preserve">Dynamique de Prix : </w:t>
      </w:r>
    </w:p>
    <w:p w14:paraId="68A69E6E" w14:textId="77777777" w:rsidR="00D65992" w:rsidRPr="00D65992" w:rsidRDefault="00D65992" w:rsidP="00D65992">
      <w:pPr>
        <w:numPr>
          <w:ilvl w:val="1"/>
          <w:numId w:val="8"/>
        </w:numPr>
      </w:pPr>
      <w:r w:rsidRPr="00D65992">
        <w:t>Les prix du GNR sont principalement influencés par des facteurs macroéconomiques plutôt que par des conditions locales.</w:t>
      </w:r>
    </w:p>
    <w:p w14:paraId="68A69E6F" w14:textId="77777777" w:rsidR="00D65992" w:rsidRPr="00D65992" w:rsidRDefault="00D65992" w:rsidP="00D65992">
      <w:pPr>
        <w:numPr>
          <w:ilvl w:val="0"/>
          <w:numId w:val="8"/>
        </w:numPr>
      </w:pPr>
      <w:r w:rsidRPr="00D65992">
        <w:t xml:space="preserve">Effets de Concurrence : </w:t>
      </w:r>
    </w:p>
    <w:p w14:paraId="68A69E70" w14:textId="77777777" w:rsidR="00D65992" w:rsidRPr="00D65992" w:rsidRDefault="00D65992" w:rsidP="00D65992">
      <w:pPr>
        <w:numPr>
          <w:ilvl w:val="1"/>
          <w:numId w:val="8"/>
        </w:numPr>
      </w:pPr>
      <w:r w:rsidRPr="00D65992">
        <w:t>La tendance à des prix plus bas dans les régions plus actives économiquement pourrait indiquer des effets de concurrence ou d'efficacité logistique.</w:t>
      </w:r>
    </w:p>
    <w:p w14:paraId="68A69E73" w14:textId="77777777" w:rsidR="00D65992" w:rsidRPr="00D65992" w:rsidRDefault="00D65992" w:rsidP="00D65992">
      <w:pPr>
        <w:numPr>
          <w:ilvl w:val="0"/>
          <w:numId w:val="8"/>
        </w:numPr>
      </w:pPr>
      <w:r w:rsidRPr="00D65992">
        <w:t xml:space="preserve">Secteur Agricole : </w:t>
      </w:r>
    </w:p>
    <w:p w14:paraId="68A69E74" w14:textId="77777777" w:rsidR="00D65992" w:rsidRPr="00D65992" w:rsidRDefault="00D65992" w:rsidP="00D65992">
      <w:pPr>
        <w:numPr>
          <w:ilvl w:val="1"/>
          <w:numId w:val="8"/>
        </w:numPr>
      </w:pPr>
      <w:r w:rsidRPr="00D65992">
        <w:t>La corrélation négative avec le nombre d'exploitations agricoles pourrait indiquer des prix légèrement plus bas dans les régions agricoles, possiblement dû à une demande plus importante et stable.</w:t>
      </w:r>
    </w:p>
    <w:p w14:paraId="68A69E75" w14:textId="77777777" w:rsidR="00D65992" w:rsidRPr="00D65992" w:rsidRDefault="00D65992" w:rsidP="00D65992">
      <w:pPr>
        <w:rPr>
          <w:b/>
          <w:bCs/>
        </w:rPr>
      </w:pPr>
      <w:r w:rsidRPr="00D65992">
        <w:rPr>
          <w:b/>
          <w:bCs/>
        </w:rPr>
        <w:t>Recommandations pour Analyses Futures</w:t>
      </w:r>
    </w:p>
    <w:p w14:paraId="68A69E76" w14:textId="77777777" w:rsidR="00D65992" w:rsidRPr="00D65992" w:rsidRDefault="00D65992" w:rsidP="00D65992">
      <w:pPr>
        <w:numPr>
          <w:ilvl w:val="0"/>
          <w:numId w:val="9"/>
        </w:numPr>
      </w:pPr>
      <w:r w:rsidRPr="00D65992">
        <w:t xml:space="preserve">Analyse Temporelle : </w:t>
      </w:r>
    </w:p>
    <w:p w14:paraId="68A69E77" w14:textId="77777777" w:rsidR="00D65992" w:rsidRPr="00D65992" w:rsidRDefault="00D65992" w:rsidP="00D65992">
      <w:pPr>
        <w:numPr>
          <w:ilvl w:val="1"/>
          <w:numId w:val="9"/>
        </w:numPr>
      </w:pPr>
      <w:r w:rsidRPr="00D65992">
        <w:t>Examiner l'évolution des corrélations dans le temps pour identifier d'éventuelles tendances saisonnières ou à long terme.</w:t>
      </w:r>
    </w:p>
    <w:p w14:paraId="68A69E78" w14:textId="77777777" w:rsidR="00D65992" w:rsidRPr="00D65992" w:rsidRDefault="00D65992" w:rsidP="00D65992">
      <w:pPr>
        <w:numPr>
          <w:ilvl w:val="0"/>
          <w:numId w:val="9"/>
        </w:numPr>
      </w:pPr>
      <w:r w:rsidRPr="00D65992">
        <w:t xml:space="preserve">Étude des Cas Atypiques : </w:t>
      </w:r>
    </w:p>
    <w:p w14:paraId="68A69E79" w14:textId="77777777" w:rsidR="00D65992" w:rsidRPr="00D65992" w:rsidRDefault="00D65992" w:rsidP="00D65992">
      <w:pPr>
        <w:numPr>
          <w:ilvl w:val="1"/>
          <w:numId w:val="9"/>
        </w:numPr>
      </w:pPr>
      <w:r w:rsidRPr="00D65992">
        <w:t>Analyser les régions présentant des écarts significatifs par rapport aux tendances générales.</w:t>
      </w:r>
    </w:p>
    <w:p w14:paraId="68A69E7A" w14:textId="77777777" w:rsidR="00D65992" w:rsidRPr="00D65992" w:rsidRDefault="00D65992" w:rsidP="00D65992">
      <w:pPr>
        <w:numPr>
          <w:ilvl w:val="0"/>
          <w:numId w:val="9"/>
        </w:numPr>
      </w:pPr>
      <w:r w:rsidRPr="00D65992">
        <w:t xml:space="preserve">Analyse Multivariée : </w:t>
      </w:r>
    </w:p>
    <w:p w14:paraId="68A69E7B" w14:textId="77777777" w:rsidR="00D65992" w:rsidRPr="00D65992" w:rsidRDefault="00D65992" w:rsidP="00D65992">
      <w:pPr>
        <w:numPr>
          <w:ilvl w:val="1"/>
          <w:numId w:val="9"/>
        </w:numPr>
      </w:pPr>
      <w:r w:rsidRPr="00D65992">
        <w:t>Étudier les interactions entre facteurs économiques et démographiques pour mieux comprendre la formation des prix au niveau régional.</w:t>
      </w:r>
    </w:p>
    <w:p w14:paraId="68A69E7C" w14:textId="77777777" w:rsidR="00D65992" w:rsidRPr="00D65992" w:rsidRDefault="00D65992" w:rsidP="00D65992">
      <w:pPr>
        <w:numPr>
          <w:ilvl w:val="0"/>
          <w:numId w:val="9"/>
        </w:numPr>
      </w:pPr>
      <w:r w:rsidRPr="00D65992">
        <w:t xml:space="preserve">Élargissement des Facteurs : </w:t>
      </w:r>
    </w:p>
    <w:p w14:paraId="68A69E7D" w14:textId="77777777" w:rsidR="00D65992" w:rsidRPr="00D65992" w:rsidRDefault="00D65992" w:rsidP="00D65992">
      <w:pPr>
        <w:numPr>
          <w:ilvl w:val="1"/>
          <w:numId w:val="9"/>
        </w:numPr>
      </w:pPr>
      <w:r w:rsidRPr="00D65992">
        <w:lastRenderedPageBreak/>
        <w:t>Considérer l'inclusion de variables supplémentaires comme les politiques régionales ou la proximité des infrastructures de distribution.</w:t>
      </w:r>
    </w:p>
    <w:p w14:paraId="68A69E7E" w14:textId="77777777" w:rsidR="00D65992" w:rsidRPr="00D65992" w:rsidRDefault="00D65992" w:rsidP="00D65992">
      <w:pPr>
        <w:rPr>
          <w:b/>
          <w:bCs/>
        </w:rPr>
      </w:pPr>
      <w:r w:rsidRPr="00D65992">
        <w:rPr>
          <w:b/>
          <w:bCs/>
        </w:rPr>
        <w:t>Conclusion</w:t>
      </w:r>
    </w:p>
    <w:p w14:paraId="68A69E7F" w14:textId="77777777" w:rsidR="00D65992" w:rsidRDefault="00D65992" w:rsidP="00D65992">
      <w:r w:rsidRPr="00D65992">
        <w:t>Cette analyse basée sur des données agrégées par région et par date offre une perspective claire sur les facteurs influençant les prix du GNR en France. Elle met en évidence le rôle prédominant des facteurs économiques globaux tout en révélant des nuances intéressantes liées à l'activité économique régionale. Ces résultats fournissent une base solide pour des analyses plus approfondies et pour la prise de décision dans le secteur du GNR.</w:t>
      </w:r>
    </w:p>
    <w:p w14:paraId="7D8A4039" w14:textId="77777777" w:rsidR="00CE7419" w:rsidRDefault="00CE7419" w:rsidP="00D65992"/>
    <w:p w14:paraId="06B884EA" w14:textId="121BA102" w:rsidR="00CE7419" w:rsidRPr="00D65992" w:rsidRDefault="00CE7419" w:rsidP="00D65992">
      <w:r>
        <w:t>Nombre d’entreprises par secteur selon la région :</w:t>
      </w:r>
    </w:p>
    <w:p w14:paraId="68A69E81" w14:textId="34CD07CA" w:rsidR="005D1FFF" w:rsidRDefault="00CE7419">
      <w:r>
        <w:rPr>
          <w:noProof/>
        </w:rPr>
        <w:drawing>
          <wp:inline distT="0" distB="0" distL="0" distR="0" wp14:anchorId="35D5FB45" wp14:editId="5BCE3592">
            <wp:extent cx="5760720" cy="3840480"/>
            <wp:effectExtent l="0" t="0" r="0" b="7620"/>
            <wp:docPr id="9981784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sectPr w:rsidR="005D1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65839"/>
    <w:multiLevelType w:val="multilevel"/>
    <w:tmpl w:val="813E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6B2"/>
    <w:multiLevelType w:val="multilevel"/>
    <w:tmpl w:val="0B1EF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45DE0"/>
    <w:multiLevelType w:val="multilevel"/>
    <w:tmpl w:val="5F0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A3D70"/>
    <w:multiLevelType w:val="multilevel"/>
    <w:tmpl w:val="80BC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508AB"/>
    <w:multiLevelType w:val="multilevel"/>
    <w:tmpl w:val="7C8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506B0"/>
    <w:multiLevelType w:val="multilevel"/>
    <w:tmpl w:val="9D00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A687C"/>
    <w:multiLevelType w:val="multilevel"/>
    <w:tmpl w:val="4FE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11BD2"/>
    <w:multiLevelType w:val="multilevel"/>
    <w:tmpl w:val="18D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B5A51"/>
    <w:multiLevelType w:val="multilevel"/>
    <w:tmpl w:val="241CA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213408">
    <w:abstractNumId w:val="2"/>
  </w:num>
  <w:num w:numId="2" w16cid:durableId="361177949">
    <w:abstractNumId w:val="3"/>
  </w:num>
  <w:num w:numId="3" w16cid:durableId="555359859">
    <w:abstractNumId w:val="7"/>
  </w:num>
  <w:num w:numId="4" w16cid:durableId="25955800">
    <w:abstractNumId w:val="6"/>
  </w:num>
  <w:num w:numId="5" w16cid:durableId="1931309111">
    <w:abstractNumId w:val="4"/>
  </w:num>
  <w:num w:numId="6" w16cid:durableId="1520200100">
    <w:abstractNumId w:val="5"/>
  </w:num>
  <w:num w:numId="7" w16cid:durableId="1834249950">
    <w:abstractNumId w:val="8"/>
  </w:num>
  <w:num w:numId="8" w16cid:durableId="146089976">
    <w:abstractNumId w:val="0"/>
  </w:num>
  <w:num w:numId="9" w16cid:durableId="100139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4D"/>
    <w:rsid w:val="00210037"/>
    <w:rsid w:val="002B421D"/>
    <w:rsid w:val="003468C3"/>
    <w:rsid w:val="005D1FFF"/>
    <w:rsid w:val="0074352F"/>
    <w:rsid w:val="009A1FA3"/>
    <w:rsid w:val="009A20A1"/>
    <w:rsid w:val="00BB48A8"/>
    <w:rsid w:val="00C7144D"/>
    <w:rsid w:val="00CE7419"/>
    <w:rsid w:val="00D65992"/>
    <w:rsid w:val="00F60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69E4A"/>
  <w14:defaultImageDpi w14:val="32767"/>
  <w15:chartTrackingRefBased/>
  <w15:docId w15:val="{B8CB1DC9-3315-4EC3-BAB5-401963E0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MU Serif" w:eastAsiaTheme="minorHAnsi" w:hAnsi="CMU Serif" w:cs="CMU Serif"/>
        <w:kern w:val="2"/>
        <w:sz w:val="24"/>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1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1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14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14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7144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714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7144D"/>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7144D"/>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7144D"/>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14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14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144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7144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7144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7144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7144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7144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7144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71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14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14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144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7144D"/>
    <w:pPr>
      <w:spacing w:before="160"/>
      <w:jc w:val="center"/>
    </w:pPr>
    <w:rPr>
      <w:i/>
      <w:iCs/>
      <w:color w:val="404040" w:themeColor="text1" w:themeTint="BF"/>
    </w:rPr>
  </w:style>
  <w:style w:type="character" w:customStyle="1" w:styleId="CitationCar">
    <w:name w:val="Citation Car"/>
    <w:basedOn w:val="Policepardfaut"/>
    <w:link w:val="Citation"/>
    <w:uiPriority w:val="29"/>
    <w:rsid w:val="00C7144D"/>
    <w:rPr>
      <w:i/>
      <w:iCs/>
      <w:color w:val="404040" w:themeColor="text1" w:themeTint="BF"/>
    </w:rPr>
  </w:style>
  <w:style w:type="paragraph" w:styleId="Paragraphedeliste">
    <w:name w:val="List Paragraph"/>
    <w:basedOn w:val="Normal"/>
    <w:uiPriority w:val="34"/>
    <w:qFormat/>
    <w:rsid w:val="00C7144D"/>
    <w:pPr>
      <w:ind w:left="720"/>
      <w:contextualSpacing/>
    </w:pPr>
  </w:style>
  <w:style w:type="character" w:styleId="Accentuationintense">
    <w:name w:val="Intense Emphasis"/>
    <w:basedOn w:val="Policepardfaut"/>
    <w:uiPriority w:val="21"/>
    <w:qFormat/>
    <w:rsid w:val="00C7144D"/>
    <w:rPr>
      <w:i/>
      <w:iCs/>
      <w:color w:val="0F4761" w:themeColor="accent1" w:themeShade="BF"/>
    </w:rPr>
  </w:style>
  <w:style w:type="paragraph" w:styleId="Citationintense">
    <w:name w:val="Intense Quote"/>
    <w:basedOn w:val="Normal"/>
    <w:next w:val="Normal"/>
    <w:link w:val="CitationintenseCar"/>
    <w:uiPriority w:val="30"/>
    <w:qFormat/>
    <w:rsid w:val="00C71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144D"/>
    <w:rPr>
      <w:i/>
      <w:iCs/>
      <w:color w:val="0F4761" w:themeColor="accent1" w:themeShade="BF"/>
    </w:rPr>
  </w:style>
  <w:style w:type="character" w:styleId="Rfrenceintense">
    <w:name w:val="Intense Reference"/>
    <w:basedOn w:val="Policepardfaut"/>
    <w:uiPriority w:val="32"/>
    <w:qFormat/>
    <w:rsid w:val="00C71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960797">
      <w:bodyDiv w:val="1"/>
      <w:marLeft w:val="0"/>
      <w:marRight w:val="0"/>
      <w:marTop w:val="0"/>
      <w:marBottom w:val="0"/>
      <w:divBdr>
        <w:top w:val="none" w:sz="0" w:space="0" w:color="auto"/>
        <w:left w:val="none" w:sz="0" w:space="0" w:color="auto"/>
        <w:bottom w:val="none" w:sz="0" w:space="0" w:color="auto"/>
        <w:right w:val="none" w:sz="0" w:space="0" w:color="auto"/>
      </w:divBdr>
      <w:divsChild>
        <w:div w:id="1123304457">
          <w:marLeft w:val="0"/>
          <w:marRight w:val="0"/>
          <w:marTop w:val="0"/>
          <w:marBottom w:val="0"/>
          <w:divBdr>
            <w:top w:val="none" w:sz="0" w:space="0" w:color="auto"/>
            <w:left w:val="none" w:sz="0" w:space="0" w:color="auto"/>
            <w:bottom w:val="none" w:sz="0" w:space="0" w:color="auto"/>
            <w:right w:val="none" w:sz="0" w:space="0" w:color="auto"/>
          </w:divBdr>
          <w:divsChild>
            <w:div w:id="1210458126">
              <w:marLeft w:val="0"/>
              <w:marRight w:val="0"/>
              <w:marTop w:val="0"/>
              <w:marBottom w:val="0"/>
              <w:divBdr>
                <w:top w:val="none" w:sz="0" w:space="0" w:color="auto"/>
                <w:left w:val="none" w:sz="0" w:space="0" w:color="auto"/>
                <w:bottom w:val="none" w:sz="0" w:space="0" w:color="auto"/>
                <w:right w:val="none" w:sz="0" w:space="0" w:color="auto"/>
              </w:divBdr>
              <w:divsChild>
                <w:div w:id="808980042">
                  <w:marLeft w:val="0"/>
                  <w:marRight w:val="0"/>
                  <w:marTop w:val="0"/>
                  <w:marBottom w:val="0"/>
                  <w:divBdr>
                    <w:top w:val="none" w:sz="0" w:space="0" w:color="auto"/>
                    <w:left w:val="none" w:sz="0" w:space="0" w:color="auto"/>
                    <w:bottom w:val="none" w:sz="0" w:space="0" w:color="auto"/>
                    <w:right w:val="none" w:sz="0" w:space="0" w:color="auto"/>
                  </w:divBdr>
                  <w:divsChild>
                    <w:div w:id="1098480495">
                      <w:marLeft w:val="0"/>
                      <w:marRight w:val="0"/>
                      <w:marTop w:val="0"/>
                      <w:marBottom w:val="0"/>
                      <w:divBdr>
                        <w:top w:val="none" w:sz="0" w:space="0" w:color="auto"/>
                        <w:left w:val="none" w:sz="0" w:space="0" w:color="auto"/>
                        <w:bottom w:val="none" w:sz="0" w:space="0" w:color="auto"/>
                        <w:right w:val="none" w:sz="0" w:space="0" w:color="auto"/>
                      </w:divBdr>
                      <w:divsChild>
                        <w:div w:id="194007915">
                          <w:marLeft w:val="0"/>
                          <w:marRight w:val="0"/>
                          <w:marTop w:val="0"/>
                          <w:marBottom w:val="0"/>
                          <w:divBdr>
                            <w:top w:val="none" w:sz="0" w:space="0" w:color="auto"/>
                            <w:left w:val="none" w:sz="0" w:space="0" w:color="auto"/>
                            <w:bottom w:val="none" w:sz="0" w:space="0" w:color="auto"/>
                            <w:right w:val="none" w:sz="0" w:space="0" w:color="auto"/>
                          </w:divBdr>
                          <w:divsChild>
                            <w:div w:id="19407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5609">
                      <w:marLeft w:val="0"/>
                      <w:marRight w:val="0"/>
                      <w:marTop w:val="0"/>
                      <w:marBottom w:val="0"/>
                      <w:divBdr>
                        <w:top w:val="none" w:sz="0" w:space="0" w:color="auto"/>
                        <w:left w:val="none" w:sz="0" w:space="0" w:color="auto"/>
                        <w:bottom w:val="none" w:sz="0" w:space="0" w:color="auto"/>
                        <w:right w:val="none" w:sz="0" w:space="0" w:color="auto"/>
                      </w:divBdr>
                      <w:divsChild>
                        <w:div w:id="1006516476">
                          <w:marLeft w:val="0"/>
                          <w:marRight w:val="0"/>
                          <w:marTop w:val="0"/>
                          <w:marBottom w:val="0"/>
                          <w:divBdr>
                            <w:top w:val="none" w:sz="0" w:space="0" w:color="auto"/>
                            <w:left w:val="none" w:sz="0" w:space="0" w:color="auto"/>
                            <w:bottom w:val="none" w:sz="0" w:space="0" w:color="auto"/>
                            <w:right w:val="none" w:sz="0" w:space="0" w:color="auto"/>
                          </w:divBdr>
                          <w:divsChild>
                            <w:div w:id="1332023632">
                              <w:marLeft w:val="0"/>
                              <w:marRight w:val="0"/>
                              <w:marTop w:val="0"/>
                              <w:marBottom w:val="0"/>
                              <w:divBdr>
                                <w:top w:val="none" w:sz="0" w:space="0" w:color="auto"/>
                                <w:left w:val="none" w:sz="0" w:space="0" w:color="auto"/>
                                <w:bottom w:val="none" w:sz="0" w:space="0" w:color="auto"/>
                                <w:right w:val="none" w:sz="0" w:space="0" w:color="auto"/>
                              </w:divBdr>
                              <w:divsChild>
                                <w:div w:id="18449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075831">
      <w:bodyDiv w:val="1"/>
      <w:marLeft w:val="0"/>
      <w:marRight w:val="0"/>
      <w:marTop w:val="0"/>
      <w:marBottom w:val="0"/>
      <w:divBdr>
        <w:top w:val="none" w:sz="0" w:space="0" w:color="auto"/>
        <w:left w:val="none" w:sz="0" w:space="0" w:color="auto"/>
        <w:bottom w:val="none" w:sz="0" w:space="0" w:color="auto"/>
        <w:right w:val="none" w:sz="0" w:space="0" w:color="auto"/>
      </w:divBdr>
      <w:divsChild>
        <w:div w:id="1513030634">
          <w:marLeft w:val="0"/>
          <w:marRight w:val="0"/>
          <w:marTop w:val="0"/>
          <w:marBottom w:val="0"/>
          <w:divBdr>
            <w:top w:val="none" w:sz="0" w:space="0" w:color="auto"/>
            <w:left w:val="none" w:sz="0" w:space="0" w:color="auto"/>
            <w:bottom w:val="none" w:sz="0" w:space="0" w:color="auto"/>
            <w:right w:val="none" w:sz="0" w:space="0" w:color="auto"/>
          </w:divBdr>
          <w:divsChild>
            <w:div w:id="263538842">
              <w:marLeft w:val="0"/>
              <w:marRight w:val="0"/>
              <w:marTop w:val="0"/>
              <w:marBottom w:val="0"/>
              <w:divBdr>
                <w:top w:val="none" w:sz="0" w:space="0" w:color="auto"/>
                <w:left w:val="none" w:sz="0" w:space="0" w:color="auto"/>
                <w:bottom w:val="none" w:sz="0" w:space="0" w:color="auto"/>
                <w:right w:val="none" w:sz="0" w:space="0" w:color="auto"/>
              </w:divBdr>
              <w:divsChild>
                <w:div w:id="1851489089">
                  <w:marLeft w:val="0"/>
                  <w:marRight w:val="0"/>
                  <w:marTop w:val="0"/>
                  <w:marBottom w:val="0"/>
                  <w:divBdr>
                    <w:top w:val="none" w:sz="0" w:space="0" w:color="auto"/>
                    <w:left w:val="none" w:sz="0" w:space="0" w:color="auto"/>
                    <w:bottom w:val="none" w:sz="0" w:space="0" w:color="auto"/>
                    <w:right w:val="none" w:sz="0" w:space="0" w:color="auto"/>
                  </w:divBdr>
                  <w:divsChild>
                    <w:div w:id="1138455584">
                      <w:marLeft w:val="0"/>
                      <w:marRight w:val="0"/>
                      <w:marTop w:val="0"/>
                      <w:marBottom w:val="0"/>
                      <w:divBdr>
                        <w:top w:val="none" w:sz="0" w:space="0" w:color="auto"/>
                        <w:left w:val="none" w:sz="0" w:space="0" w:color="auto"/>
                        <w:bottom w:val="none" w:sz="0" w:space="0" w:color="auto"/>
                        <w:right w:val="none" w:sz="0" w:space="0" w:color="auto"/>
                      </w:divBdr>
                      <w:divsChild>
                        <w:div w:id="171460721">
                          <w:marLeft w:val="0"/>
                          <w:marRight w:val="0"/>
                          <w:marTop w:val="0"/>
                          <w:marBottom w:val="0"/>
                          <w:divBdr>
                            <w:top w:val="none" w:sz="0" w:space="0" w:color="auto"/>
                            <w:left w:val="none" w:sz="0" w:space="0" w:color="auto"/>
                            <w:bottom w:val="none" w:sz="0" w:space="0" w:color="auto"/>
                            <w:right w:val="none" w:sz="0" w:space="0" w:color="auto"/>
                          </w:divBdr>
                          <w:divsChild>
                            <w:div w:id="10729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454">
                      <w:marLeft w:val="0"/>
                      <w:marRight w:val="0"/>
                      <w:marTop w:val="0"/>
                      <w:marBottom w:val="0"/>
                      <w:divBdr>
                        <w:top w:val="none" w:sz="0" w:space="0" w:color="auto"/>
                        <w:left w:val="none" w:sz="0" w:space="0" w:color="auto"/>
                        <w:bottom w:val="none" w:sz="0" w:space="0" w:color="auto"/>
                        <w:right w:val="none" w:sz="0" w:space="0" w:color="auto"/>
                      </w:divBdr>
                      <w:divsChild>
                        <w:div w:id="12541815">
                          <w:marLeft w:val="0"/>
                          <w:marRight w:val="0"/>
                          <w:marTop w:val="0"/>
                          <w:marBottom w:val="0"/>
                          <w:divBdr>
                            <w:top w:val="none" w:sz="0" w:space="0" w:color="auto"/>
                            <w:left w:val="none" w:sz="0" w:space="0" w:color="auto"/>
                            <w:bottom w:val="none" w:sz="0" w:space="0" w:color="auto"/>
                            <w:right w:val="none" w:sz="0" w:space="0" w:color="auto"/>
                          </w:divBdr>
                          <w:divsChild>
                            <w:div w:id="1751154010">
                              <w:marLeft w:val="0"/>
                              <w:marRight w:val="0"/>
                              <w:marTop w:val="0"/>
                              <w:marBottom w:val="0"/>
                              <w:divBdr>
                                <w:top w:val="none" w:sz="0" w:space="0" w:color="auto"/>
                                <w:left w:val="none" w:sz="0" w:space="0" w:color="auto"/>
                                <w:bottom w:val="none" w:sz="0" w:space="0" w:color="auto"/>
                                <w:right w:val="none" w:sz="0" w:space="0" w:color="auto"/>
                              </w:divBdr>
                              <w:divsChild>
                                <w:div w:id="7624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634</Words>
  <Characters>3487</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Yassine Nadrani</cp:lastModifiedBy>
  <cp:revision>5</cp:revision>
  <dcterms:created xsi:type="dcterms:W3CDTF">2024-10-08T16:24:00Z</dcterms:created>
  <dcterms:modified xsi:type="dcterms:W3CDTF">2024-10-09T10:54:00Z</dcterms:modified>
</cp:coreProperties>
</file>