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2EC0E2" w14:textId="77777777" w:rsidR="00051F79" w:rsidRPr="00051F79" w:rsidRDefault="00051F79" w:rsidP="00051F79">
      <w:pPr>
        <w:rPr>
          <w:b/>
          <w:bCs/>
        </w:rPr>
      </w:pPr>
      <w:r w:rsidRPr="00051F79">
        <w:rPr>
          <w:b/>
          <w:bCs/>
        </w:rPr>
        <w:t>Analyse Approfondie des Prix du Gasoil Non Routier (GNR) en France : Tendances Spatiales et Temporelles</w:t>
      </w:r>
    </w:p>
    <w:p w14:paraId="6A2EC0E3" w14:textId="77777777" w:rsidR="00051F79" w:rsidRPr="00051F79" w:rsidRDefault="00051F79" w:rsidP="00051F79">
      <w:pPr>
        <w:rPr>
          <w:b/>
          <w:bCs/>
        </w:rPr>
      </w:pPr>
      <w:r w:rsidRPr="00051F79">
        <w:rPr>
          <w:b/>
          <w:bCs/>
        </w:rPr>
        <w:t>1. Introduction</w:t>
      </w:r>
    </w:p>
    <w:p w14:paraId="6A2EC0E4" w14:textId="77777777" w:rsidR="00051F79" w:rsidRPr="00051F79" w:rsidRDefault="00051F79" w:rsidP="00DC280D">
      <w:pPr>
        <w:jc w:val="both"/>
      </w:pPr>
      <w:r w:rsidRPr="00051F79">
        <w:t>Ce rapport présente une analyse détaillée des prix du Gasoil Non Routier (GNR) en France, basée sur des données collectées entre mai et octobre 2024. L'étude se concentre sur les disparités régionales, l'évolution temporelle des prix, et la distribution globale des prix du GNR. L'objectif est de fournir une compréhension approfondie des dynamiques du marché du GNR et d'identifier les facteurs clés influençant les variations de prix.</w:t>
      </w:r>
    </w:p>
    <w:p w14:paraId="6A2EC0E5" w14:textId="77777777" w:rsidR="00051F79" w:rsidRPr="00051F79" w:rsidRDefault="00051F79" w:rsidP="00051F79">
      <w:pPr>
        <w:rPr>
          <w:b/>
          <w:bCs/>
        </w:rPr>
      </w:pPr>
      <w:r w:rsidRPr="00051F79">
        <w:rPr>
          <w:b/>
          <w:bCs/>
        </w:rPr>
        <w:t>2. Méthodologie</w:t>
      </w:r>
    </w:p>
    <w:p w14:paraId="6A2EC0E6" w14:textId="77777777" w:rsidR="00051F79" w:rsidRPr="00051F79" w:rsidRDefault="00051F79" w:rsidP="00051F79">
      <w:r w:rsidRPr="00051F79">
        <w:t>L'analyse s'appuie sur cinq visualisations principales :</w:t>
      </w:r>
    </w:p>
    <w:p w14:paraId="6A2EC0E7" w14:textId="77777777" w:rsidR="00051F79" w:rsidRPr="00051F79" w:rsidRDefault="00051F79" w:rsidP="00051F79">
      <w:pPr>
        <w:numPr>
          <w:ilvl w:val="0"/>
          <w:numId w:val="1"/>
        </w:numPr>
      </w:pPr>
      <w:r w:rsidRPr="00051F79">
        <w:t>Carte choroplèthe de la distribution géographique des prix moyens</w:t>
      </w:r>
    </w:p>
    <w:p w14:paraId="6A2EC0E8" w14:textId="77777777" w:rsidR="00051F79" w:rsidRPr="00051F79" w:rsidRDefault="00051F79" w:rsidP="00051F79">
      <w:pPr>
        <w:numPr>
          <w:ilvl w:val="0"/>
          <w:numId w:val="1"/>
        </w:numPr>
      </w:pPr>
      <w:r w:rsidRPr="00051F79">
        <w:t>Graphique linéaire de l'évolution des prix par région</w:t>
      </w:r>
    </w:p>
    <w:p w14:paraId="6A2EC0E9" w14:textId="77777777" w:rsidR="00051F79" w:rsidRPr="00051F79" w:rsidRDefault="00051F79" w:rsidP="00051F79">
      <w:pPr>
        <w:numPr>
          <w:ilvl w:val="0"/>
          <w:numId w:val="1"/>
        </w:numPr>
      </w:pPr>
      <w:r w:rsidRPr="00051F79">
        <w:t>Courbe d'évolution du prix moyen national</w:t>
      </w:r>
    </w:p>
    <w:p w14:paraId="6A2EC0EA" w14:textId="77777777" w:rsidR="00051F79" w:rsidRPr="00051F79" w:rsidRDefault="00051F79" w:rsidP="00051F79">
      <w:pPr>
        <w:numPr>
          <w:ilvl w:val="0"/>
          <w:numId w:val="1"/>
        </w:numPr>
      </w:pPr>
      <w:r w:rsidRPr="00051F79">
        <w:t>Histogramme de la distribution globale des prix</w:t>
      </w:r>
    </w:p>
    <w:p w14:paraId="6A2EC0EB" w14:textId="77777777" w:rsidR="00051F79" w:rsidRPr="00051F79" w:rsidRDefault="00051F79" w:rsidP="00051F79">
      <w:pPr>
        <w:numPr>
          <w:ilvl w:val="0"/>
          <w:numId w:val="1"/>
        </w:numPr>
      </w:pPr>
      <w:r w:rsidRPr="00051F79">
        <w:t>Diagramme en violon de la distribution des prix par région</w:t>
      </w:r>
    </w:p>
    <w:p w14:paraId="6A2EC0EC" w14:textId="77777777" w:rsidR="00051F79" w:rsidRPr="00051F79" w:rsidRDefault="00051F79" w:rsidP="00051F79">
      <w:r w:rsidRPr="00051F79">
        <w:t>Ces visualisations ont permis une analyse multi-dimensionnelle des prix du GNR, combinant les aspects géographiques et temporels.</w:t>
      </w:r>
    </w:p>
    <w:p w14:paraId="6A2EC0ED" w14:textId="77777777" w:rsidR="00051F79" w:rsidRPr="00051F79" w:rsidRDefault="00051F79" w:rsidP="00051F79">
      <w:pPr>
        <w:rPr>
          <w:b/>
          <w:bCs/>
        </w:rPr>
      </w:pPr>
      <w:r w:rsidRPr="00051F79">
        <w:rPr>
          <w:b/>
          <w:bCs/>
        </w:rPr>
        <w:t>3. Analyse Détaillée</w:t>
      </w:r>
    </w:p>
    <w:p w14:paraId="6A2EC0EE" w14:textId="77777777" w:rsidR="00051F79" w:rsidRPr="00051F79" w:rsidRDefault="00051F79" w:rsidP="00051F79">
      <w:pPr>
        <w:rPr>
          <w:b/>
          <w:bCs/>
        </w:rPr>
      </w:pPr>
      <w:r w:rsidRPr="00051F79">
        <w:rPr>
          <w:b/>
          <w:bCs/>
        </w:rPr>
        <w:t>3.1 Distribution Géographique des Prix Moyens</w:t>
      </w:r>
    </w:p>
    <w:p w14:paraId="6A2EC0EF" w14:textId="77777777" w:rsidR="00051F79" w:rsidRPr="00051F79" w:rsidRDefault="00051F79" w:rsidP="00051F79">
      <w:r w:rsidRPr="00051F79">
        <w:t>La carte choroplèthe révèle des disparités régionales significatives :</w:t>
      </w:r>
    </w:p>
    <w:p w14:paraId="6A2EC0F0" w14:textId="77777777" w:rsidR="00051F79" w:rsidRPr="00051F79" w:rsidRDefault="00051F79" w:rsidP="00051F79">
      <w:pPr>
        <w:numPr>
          <w:ilvl w:val="0"/>
          <w:numId w:val="2"/>
        </w:numPr>
      </w:pPr>
      <w:r w:rsidRPr="00051F79">
        <w:rPr>
          <w:b/>
          <w:bCs/>
        </w:rPr>
        <w:t>Nord-Est et Sud-Est</w:t>
      </w:r>
      <w:r w:rsidRPr="00051F79">
        <w:t xml:space="preserve"> : Prix élevés (&gt;1350) </w:t>
      </w:r>
    </w:p>
    <w:p w14:paraId="6A2EC0F1" w14:textId="77777777" w:rsidR="00051F79" w:rsidRPr="00051F79" w:rsidRDefault="00051F79" w:rsidP="00051F79">
      <w:pPr>
        <w:numPr>
          <w:ilvl w:val="1"/>
          <w:numId w:val="2"/>
        </w:numPr>
      </w:pPr>
      <w:r w:rsidRPr="00051F79">
        <w:t>Facteurs potentiels : Éloignement des sources d'approvisionnement, coûts de transport élevés</w:t>
      </w:r>
    </w:p>
    <w:p w14:paraId="6A2EC0F2" w14:textId="76EF5EB9" w:rsidR="00051F79" w:rsidRPr="00051F79" w:rsidRDefault="00051F79" w:rsidP="00051F79">
      <w:pPr>
        <w:numPr>
          <w:ilvl w:val="0"/>
          <w:numId w:val="2"/>
        </w:numPr>
      </w:pPr>
      <w:r w:rsidRPr="00051F79">
        <w:rPr>
          <w:b/>
          <w:bCs/>
        </w:rPr>
        <w:t>Centre et Ouest</w:t>
      </w:r>
      <w:r w:rsidRPr="00051F79">
        <w:t xml:space="preserve"> : Prix modérés</w:t>
      </w:r>
      <w:r w:rsidR="00DC280D">
        <w:t>/faibles</w:t>
      </w:r>
      <w:r w:rsidRPr="00051F79">
        <w:t xml:space="preserve"> (1250-1300) </w:t>
      </w:r>
    </w:p>
    <w:p w14:paraId="6A2EC0F3" w14:textId="77777777" w:rsidR="00051F79" w:rsidRPr="00051F79" w:rsidRDefault="00051F79" w:rsidP="00051F79">
      <w:pPr>
        <w:numPr>
          <w:ilvl w:val="1"/>
          <w:numId w:val="2"/>
        </w:numPr>
      </w:pPr>
      <w:r w:rsidRPr="00051F79">
        <w:t>Hypothèse : Meilleure accessibilité aux infrastructures de distribution</w:t>
      </w:r>
    </w:p>
    <w:p w14:paraId="6A2EC0F6" w14:textId="77777777" w:rsidR="00051F79" w:rsidRDefault="00051F79" w:rsidP="00051F79">
      <w:r w:rsidRPr="00051F79">
        <w:t>Ces disparités suggèrent une forte influence des facteurs géographiques et logistiques sur la formation des prix.</w:t>
      </w:r>
    </w:p>
    <w:p w14:paraId="653D7AB8" w14:textId="77777777" w:rsidR="00EC7B82" w:rsidRDefault="00EC7B82" w:rsidP="00051F79"/>
    <w:p w14:paraId="3BC3EA37" w14:textId="5DCCCE20" w:rsidR="00525D4B" w:rsidRDefault="00C86BA2" w:rsidP="00C86BA2">
      <w:pPr>
        <w:jc w:val="center"/>
      </w:pPr>
      <w:r>
        <w:rPr>
          <w:noProof/>
        </w:rPr>
        <w:lastRenderedPageBreak/>
        <w:drawing>
          <wp:inline distT="0" distB="0" distL="0" distR="0" wp14:anchorId="6F62F208" wp14:editId="7AD7C845">
            <wp:extent cx="3864429" cy="3227172"/>
            <wp:effectExtent l="0" t="0" r="3175" b="0"/>
            <wp:docPr id="15010862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67962" cy="3230123"/>
                    </a:xfrm>
                    <a:prstGeom prst="rect">
                      <a:avLst/>
                    </a:prstGeom>
                    <a:noFill/>
                    <a:ln>
                      <a:noFill/>
                    </a:ln>
                  </pic:spPr>
                </pic:pic>
              </a:graphicData>
            </a:graphic>
          </wp:inline>
        </w:drawing>
      </w:r>
    </w:p>
    <w:p w14:paraId="6442970C" w14:textId="77777777" w:rsidR="00EC7B82" w:rsidRDefault="00EC7B82" w:rsidP="00C86BA2">
      <w:pPr>
        <w:jc w:val="center"/>
      </w:pPr>
    </w:p>
    <w:p w14:paraId="2BBD2195" w14:textId="0BD8D043" w:rsidR="00EC7B82" w:rsidRPr="00EC7B82" w:rsidRDefault="00EC7B82" w:rsidP="00EC7B82">
      <w:pPr>
        <w:jc w:val="center"/>
      </w:pPr>
    </w:p>
    <w:p w14:paraId="2A88BF45" w14:textId="77777777" w:rsidR="00EC7B82" w:rsidRPr="00051F79" w:rsidRDefault="00EC7B82" w:rsidP="00C86BA2">
      <w:pPr>
        <w:jc w:val="center"/>
      </w:pPr>
    </w:p>
    <w:p w14:paraId="6A2EC0F7" w14:textId="77777777" w:rsidR="00051F79" w:rsidRPr="00051F79" w:rsidRDefault="00051F79" w:rsidP="00051F79">
      <w:pPr>
        <w:rPr>
          <w:b/>
          <w:bCs/>
        </w:rPr>
      </w:pPr>
      <w:r w:rsidRPr="00051F79">
        <w:rPr>
          <w:b/>
          <w:bCs/>
        </w:rPr>
        <w:t>3.2 Évolution Temporelle des Prix par Région</w:t>
      </w:r>
    </w:p>
    <w:p w14:paraId="6A2EC0F8" w14:textId="77777777" w:rsidR="00051F79" w:rsidRPr="00051F79" w:rsidRDefault="00051F79" w:rsidP="00051F79">
      <w:r w:rsidRPr="00051F79">
        <w:t xml:space="preserve">Le graphique linéaire </w:t>
      </w:r>
      <w:proofErr w:type="spellStart"/>
      <w:r w:rsidRPr="00051F79">
        <w:t>multi-régional</w:t>
      </w:r>
      <w:proofErr w:type="spellEnd"/>
      <w:r w:rsidRPr="00051F79">
        <w:t xml:space="preserve"> révèle plusieurs tendances clés :</w:t>
      </w:r>
    </w:p>
    <w:p w14:paraId="6A2EC0F9" w14:textId="77777777" w:rsidR="00051F79" w:rsidRPr="00051F79" w:rsidRDefault="00051F79" w:rsidP="00051F79">
      <w:pPr>
        <w:numPr>
          <w:ilvl w:val="0"/>
          <w:numId w:val="3"/>
        </w:numPr>
      </w:pPr>
      <w:r w:rsidRPr="00051F79">
        <w:rPr>
          <w:b/>
          <w:bCs/>
        </w:rPr>
        <w:t>Tendance générale à la baisse</w:t>
      </w:r>
      <w:r w:rsidRPr="00051F79">
        <w:t xml:space="preserve"> de mai à octobre 2024</w:t>
      </w:r>
    </w:p>
    <w:p w14:paraId="6A2EC0FA" w14:textId="77777777" w:rsidR="00051F79" w:rsidRPr="00051F79" w:rsidRDefault="00051F79" w:rsidP="00051F79">
      <w:pPr>
        <w:numPr>
          <w:ilvl w:val="0"/>
          <w:numId w:val="3"/>
        </w:numPr>
      </w:pPr>
      <w:r w:rsidRPr="00051F79">
        <w:rPr>
          <w:b/>
          <w:bCs/>
        </w:rPr>
        <w:t>Forte volatilité</w:t>
      </w:r>
      <w:r w:rsidRPr="00051F79">
        <w:t xml:space="preserve"> en juin-juillet, suivie d'une relative stabilisation</w:t>
      </w:r>
    </w:p>
    <w:p w14:paraId="6A2EC0FB" w14:textId="77777777" w:rsidR="00051F79" w:rsidRDefault="00051F79" w:rsidP="00051F79">
      <w:pPr>
        <w:numPr>
          <w:ilvl w:val="0"/>
          <w:numId w:val="3"/>
        </w:numPr>
      </w:pPr>
      <w:r w:rsidRPr="00051F79">
        <w:rPr>
          <w:b/>
          <w:bCs/>
        </w:rPr>
        <w:t>Convergence des prix</w:t>
      </w:r>
      <w:r w:rsidRPr="00051F79">
        <w:t xml:space="preserve"> entre régions vers la fin de la période</w:t>
      </w:r>
    </w:p>
    <w:p w14:paraId="693DCB49" w14:textId="028202B5" w:rsidR="007874EE" w:rsidRPr="00051F79" w:rsidRDefault="007874EE" w:rsidP="007874EE">
      <w:r>
        <w:rPr>
          <w:noProof/>
        </w:rPr>
        <w:drawing>
          <wp:inline distT="0" distB="0" distL="0" distR="0" wp14:anchorId="2D643BEC" wp14:editId="2B9958A2">
            <wp:extent cx="5760720" cy="2877185"/>
            <wp:effectExtent l="0" t="0" r="0" b="0"/>
            <wp:docPr id="63686458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2877185"/>
                    </a:xfrm>
                    <a:prstGeom prst="rect">
                      <a:avLst/>
                    </a:prstGeom>
                    <a:noFill/>
                    <a:ln>
                      <a:noFill/>
                    </a:ln>
                  </pic:spPr>
                </pic:pic>
              </a:graphicData>
            </a:graphic>
          </wp:inline>
        </w:drawing>
      </w:r>
    </w:p>
    <w:p w14:paraId="6A2EC0FC" w14:textId="77777777" w:rsidR="00051F79" w:rsidRPr="00051F79" w:rsidRDefault="00051F79" w:rsidP="00051F79">
      <w:r w:rsidRPr="00051F79">
        <w:lastRenderedPageBreak/>
        <w:t>Points notables :</w:t>
      </w:r>
    </w:p>
    <w:p w14:paraId="6A2EC0FD" w14:textId="77777777" w:rsidR="00051F79" w:rsidRPr="00051F79" w:rsidRDefault="00051F79" w:rsidP="00051F79">
      <w:pPr>
        <w:numPr>
          <w:ilvl w:val="0"/>
          <w:numId w:val="4"/>
        </w:numPr>
      </w:pPr>
      <w:r w:rsidRPr="00051F79">
        <w:rPr>
          <w:b/>
          <w:bCs/>
        </w:rPr>
        <w:t>Normandie</w:t>
      </w:r>
      <w:r w:rsidRPr="00051F79">
        <w:t xml:space="preserve"> : Pics de prix extrêmes, notamment début juin </w:t>
      </w:r>
    </w:p>
    <w:p w14:paraId="6A2EC0FE" w14:textId="77777777" w:rsidR="00051F79" w:rsidRPr="00051F79" w:rsidRDefault="00051F79" w:rsidP="00051F79">
      <w:pPr>
        <w:numPr>
          <w:ilvl w:val="1"/>
          <w:numId w:val="4"/>
        </w:numPr>
      </w:pPr>
      <w:r w:rsidRPr="00051F79">
        <w:t>Nécessite une investigation approfondie des causes locales</w:t>
      </w:r>
    </w:p>
    <w:p w14:paraId="6A2EC0FF" w14:textId="77777777" w:rsidR="00051F79" w:rsidRPr="00051F79" w:rsidRDefault="00051F79" w:rsidP="00051F79">
      <w:pPr>
        <w:numPr>
          <w:ilvl w:val="0"/>
          <w:numId w:val="4"/>
        </w:numPr>
      </w:pPr>
      <w:r w:rsidRPr="00051F79">
        <w:rPr>
          <w:b/>
          <w:bCs/>
        </w:rPr>
        <w:t>Occitanie</w:t>
      </w:r>
      <w:r w:rsidRPr="00051F79">
        <w:t xml:space="preserve"> : Volatilité persistante tout au long de la période </w:t>
      </w:r>
    </w:p>
    <w:p w14:paraId="6A2EC100" w14:textId="77777777" w:rsidR="00051F79" w:rsidRPr="00051F79" w:rsidRDefault="00051F79" w:rsidP="00051F79">
      <w:pPr>
        <w:numPr>
          <w:ilvl w:val="1"/>
          <w:numId w:val="4"/>
        </w:numPr>
      </w:pPr>
      <w:r w:rsidRPr="00051F79">
        <w:t>Suggère une sensibilité accrue aux facteurs de marché</w:t>
      </w:r>
    </w:p>
    <w:p w14:paraId="6A2EC101" w14:textId="77777777" w:rsidR="00051F79" w:rsidRPr="00051F79" w:rsidRDefault="00051F79" w:rsidP="00051F79">
      <w:pPr>
        <w:numPr>
          <w:ilvl w:val="0"/>
          <w:numId w:val="4"/>
        </w:numPr>
      </w:pPr>
      <w:r w:rsidRPr="00051F79">
        <w:rPr>
          <w:b/>
          <w:bCs/>
        </w:rPr>
        <w:t>Île-de-France</w:t>
      </w:r>
      <w:r w:rsidRPr="00051F79">
        <w:t xml:space="preserve"> : Relative stabilité et prix généralement inférieurs à la moyenne nationale </w:t>
      </w:r>
    </w:p>
    <w:p w14:paraId="6A2EC102" w14:textId="77777777" w:rsidR="00051F79" w:rsidRDefault="00051F79" w:rsidP="00051F79">
      <w:pPr>
        <w:numPr>
          <w:ilvl w:val="1"/>
          <w:numId w:val="4"/>
        </w:numPr>
      </w:pPr>
      <w:r w:rsidRPr="00051F79">
        <w:t>Potentiellement dû à une demande stable et une bonne infrastructure logistique</w:t>
      </w:r>
    </w:p>
    <w:p w14:paraId="301DBC9D" w14:textId="77777777" w:rsidR="007874EE" w:rsidRDefault="007874EE" w:rsidP="007874EE">
      <w:pPr>
        <w:ind w:left="1440"/>
      </w:pPr>
    </w:p>
    <w:p w14:paraId="102D193B" w14:textId="17BA5875" w:rsidR="007874EE" w:rsidRDefault="007874EE" w:rsidP="007874EE">
      <w:r w:rsidRPr="00EC7B82">
        <w:drawing>
          <wp:inline distT="0" distB="0" distL="0" distR="0" wp14:anchorId="62E04A3B" wp14:editId="50BD7444">
            <wp:extent cx="5760720" cy="3742690"/>
            <wp:effectExtent l="0" t="0" r="0" b="0"/>
            <wp:docPr id="58288353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742690"/>
                    </a:xfrm>
                    <a:prstGeom prst="rect">
                      <a:avLst/>
                    </a:prstGeom>
                    <a:noFill/>
                    <a:ln>
                      <a:noFill/>
                    </a:ln>
                  </pic:spPr>
                </pic:pic>
              </a:graphicData>
            </a:graphic>
          </wp:inline>
        </w:drawing>
      </w:r>
    </w:p>
    <w:p w14:paraId="2DF8A982" w14:textId="77777777" w:rsidR="007874EE" w:rsidRPr="00051F79" w:rsidRDefault="007874EE" w:rsidP="007874EE"/>
    <w:p w14:paraId="6A2EC103" w14:textId="77777777" w:rsidR="00051F79" w:rsidRPr="00051F79" w:rsidRDefault="00051F79" w:rsidP="00051F79">
      <w:pPr>
        <w:rPr>
          <w:b/>
          <w:bCs/>
        </w:rPr>
      </w:pPr>
      <w:r w:rsidRPr="00051F79">
        <w:rPr>
          <w:b/>
          <w:bCs/>
        </w:rPr>
        <w:t>3.3 Évolution du Prix Moyen National</w:t>
      </w:r>
    </w:p>
    <w:p w14:paraId="6A2EC104" w14:textId="77777777" w:rsidR="00051F79" w:rsidRPr="00051F79" w:rsidRDefault="00051F79" w:rsidP="00051F79">
      <w:r w:rsidRPr="00051F79">
        <w:t>La courbe d'évolution nationale montre :</w:t>
      </w:r>
    </w:p>
    <w:p w14:paraId="6A2EC105" w14:textId="77777777" w:rsidR="00051F79" w:rsidRPr="00051F79" w:rsidRDefault="00051F79" w:rsidP="00051F79">
      <w:pPr>
        <w:numPr>
          <w:ilvl w:val="0"/>
          <w:numId w:val="5"/>
        </w:numPr>
      </w:pPr>
      <w:r w:rsidRPr="00051F79">
        <w:rPr>
          <w:b/>
          <w:bCs/>
        </w:rPr>
        <w:t>Pic initial</w:t>
      </w:r>
      <w:r w:rsidRPr="00051F79">
        <w:t xml:space="preserve"> en mai-juin 2024</w:t>
      </w:r>
    </w:p>
    <w:p w14:paraId="6A2EC106" w14:textId="77777777" w:rsidR="00051F79" w:rsidRPr="00051F79" w:rsidRDefault="00051F79" w:rsidP="00051F79">
      <w:pPr>
        <w:numPr>
          <w:ilvl w:val="0"/>
          <w:numId w:val="5"/>
        </w:numPr>
      </w:pPr>
      <w:r w:rsidRPr="00051F79">
        <w:rPr>
          <w:b/>
          <w:bCs/>
        </w:rPr>
        <w:t>Plateau élevé</w:t>
      </w:r>
      <w:r w:rsidRPr="00051F79">
        <w:t xml:space="preserve"> en juillet</w:t>
      </w:r>
    </w:p>
    <w:p w14:paraId="6A2EC107" w14:textId="77777777" w:rsidR="00051F79" w:rsidRPr="00051F79" w:rsidRDefault="00051F79" w:rsidP="00051F79">
      <w:pPr>
        <w:numPr>
          <w:ilvl w:val="0"/>
          <w:numId w:val="5"/>
        </w:numPr>
      </w:pPr>
      <w:r w:rsidRPr="00051F79">
        <w:rPr>
          <w:b/>
          <w:bCs/>
        </w:rPr>
        <w:t>Baisse progressive</w:t>
      </w:r>
      <w:r w:rsidRPr="00051F79">
        <w:t xml:space="preserve"> d'août à septembre</w:t>
      </w:r>
    </w:p>
    <w:p w14:paraId="6A2EC108" w14:textId="77777777" w:rsidR="00051F79" w:rsidRPr="00051F79" w:rsidRDefault="00051F79" w:rsidP="00051F79">
      <w:pPr>
        <w:numPr>
          <w:ilvl w:val="0"/>
          <w:numId w:val="5"/>
        </w:numPr>
      </w:pPr>
      <w:r w:rsidRPr="00051F79">
        <w:rPr>
          <w:b/>
          <w:bCs/>
        </w:rPr>
        <w:lastRenderedPageBreak/>
        <w:t>Légère remontée</w:t>
      </w:r>
      <w:r w:rsidRPr="00051F79">
        <w:t xml:space="preserve"> fin octobre</w:t>
      </w:r>
    </w:p>
    <w:p w14:paraId="6A2EC109" w14:textId="77777777" w:rsidR="00051F79" w:rsidRPr="00051F79" w:rsidRDefault="00051F79" w:rsidP="00051F79">
      <w:r w:rsidRPr="00051F79">
        <w:t>Cette évolution suggère :</w:t>
      </w:r>
    </w:p>
    <w:p w14:paraId="6A2EC10A" w14:textId="77777777" w:rsidR="00051F79" w:rsidRPr="00051F79" w:rsidRDefault="00051F79" w:rsidP="00051F79">
      <w:pPr>
        <w:numPr>
          <w:ilvl w:val="0"/>
          <w:numId w:val="6"/>
        </w:numPr>
      </w:pPr>
      <w:r w:rsidRPr="00051F79">
        <w:t>Des perturbations importantes du marché en début de période (événements géopolitiques, changements dans l'offre/demande mondiale)</w:t>
      </w:r>
    </w:p>
    <w:p w14:paraId="6A2EC10B" w14:textId="77777777" w:rsidR="00051F79" w:rsidRPr="00051F79" w:rsidRDefault="00051F79" w:rsidP="00051F79">
      <w:pPr>
        <w:numPr>
          <w:ilvl w:val="0"/>
          <w:numId w:val="6"/>
        </w:numPr>
      </w:pPr>
      <w:r w:rsidRPr="00051F79">
        <w:t>Un ajustement progressif du marché</w:t>
      </w:r>
    </w:p>
    <w:p w14:paraId="6A2EC10C" w14:textId="77777777" w:rsidR="00051F79" w:rsidRDefault="00051F79" w:rsidP="00051F79">
      <w:pPr>
        <w:numPr>
          <w:ilvl w:val="0"/>
          <w:numId w:val="6"/>
        </w:numPr>
      </w:pPr>
      <w:r w:rsidRPr="00051F79">
        <w:t>Une possible influence saisonnière sur les prix</w:t>
      </w:r>
    </w:p>
    <w:p w14:paraId="447E06AE" w14:textId="5504B626" w:rsidR="00E20AFB" w:rsidRPr="00051F79" w:rsidRDefault="00E20AFB" w:rsidP="00E20AFB">
      <w:r>
        <w:rPr>
          <w:noProof/>
        </w:rPr>
        <w:drawing>
          <wp:inline distT="0" distB="0" distL="0" distR="0" wp14:anchorId="6310E69E" wp14:editId="57204C36">
            <wp:extent cx="5760720" cy="2975610"/>
            <wp:effectExtent l="0" t="0" r="0" b="0"/>
            <wp:docPr id="77169438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975610"/>
                    </a:xfrm>
                    <a:prstGeom prst="rect">
                      <a:avLst/>
                    </a:prstGeom>
                    <a:noFill/>
                    <a:ln>
                      <a:noFill/>
                    </a:ln>
                  </pic:spPr>
                </pic:pic>
              </a:graphicData>
            </a:graphic>
          </wp:inline>
        </w:drawing>
      </w:r>
    </w:p>
    <w:p w14:paraId="6A2EC10D" w14:textId="77777777" w:rsidR="00051F79" w:rsidRPr="00051F79" w:rsidRDefault="00051F79" w:rsidP="00051F79">
      <w:pPr>
        <w:rPr>
          <w:b/>
          <w:bCs/>
        </w:rPr>
      </w:pPr>
      <w:r w:rsidRPr="00051F79">
        <w:rPr>
          <w:b/>
          <w:bCs/>
        </w:rPr>
        <w:t>3.4 Distribution Globale des Prix</w:t>
      </w:r>
    </w:p>
    <w:p w14:paraId="6A2EC10E" w14:textId="77777777" w:rsidR="00051F79" w:rsidRPr="00051F79" w:rsidRDefault="00051F79" w:rsidP="00051F79">
      <w:r w:rsidRPr="00051F79">
        <w:t>L'histogramme de distribution révèle :</w:t>
      </w:r>
    </w:p>
    <w:p w14:paraId="6A2EC10F" w14:textId="77777777" w:rsidR="00051F79" w:rsidRPr="00051F79" w:rsidRDefault="00051F79" w:rsidP="00051F79">
      <w:pPr>
        <w:numPr>
          <w:ilvl w:val="0"/>
          <w:numId w:val="7"/>
        </w:numPr>
      </w:pPr>
      <w:r w:rsidRPr="00051F79">
        <w:t>Une distribution approximativement normale avec une légère asymétrie positive</w:t>
      </w:r>
    </w:p>
    <w:p w14:paraId="6A2EC110" w14:textId="77777777" w:rsidR="00051F79" w:rsidRPr="00051F79" w:rsidRDefault="00051F79" w:rsidP="00051F79">
      <w:pPr>
        <w:numPr>
          <w:ilvl w:val="0"/>
          <w:numId w:val="7"/>
        </w:numPr>
      </w:pPr>
      <w:r w:rsidRPr="00051F79">
        <w:t>Pic principal entre 1250 et 1300</w:t>
      </w:r>
    </w:p>
    <w:p w14:paraId="6A2EC111" w14:textId="77777777" w:rsidR="00051F79" w:rsidRPr="00051F79" w:rsidRDefault="00051F79" w:rsidP="00051F79">
      <w:pPr>
        <w:numPr>
          <w:ilvl w:val="0"/>
          <w:numId w:val="7"/>
        </w:numPr>
      </w:pPr>
      <w:r w:rsidRPr="00051F79">
        <w:t>Queue de distribution étendue vers les prix élevés</w:t>
      </w:r>
    </w:p>
    <w:p w14:paraId="6A2EC112" w14:textId="77777777" w:rsidR="00051F79" w:rsidRPr="00051F79" w:rsidRDefault="00051F79" w:rsidP="00051F79">
      <w:r w:rsidRPr="00051F79">
        <w:t>Implications :</w:t>
      </w:r>
    </w:p>
    <w:p w14:paraId="6A2EC113" w14:textId="77777777" w:rsidR="00051F79" w:rsidRPr="00051F79" w:rsidRDefault="00051F79" w:rsidP="00051F79">
      <w:pPr>
        <w:numPr>
          <w:ilvl w:val="0"/>
          <w:numId w:val="8"/>
        </w:numPr>
      </w:pPr>
      <w:r w:rsidRPr="00051F79">
        <w:t>La majorité des prix se concentre autour d'une valeur moyenne</w:t>
      </w:r>
    </w:p>
    <w:p w14:paraId="6A2EC114" w14:textId="77777777" w:rsidR="00051F79" w:rsidRPr="00051F79" w:rsidRDefault="00051F79" w:rsidP="00051F79">
      <w:pPr>
        <w:numPr>
          <w:ilvl w:val="0"/>
          <w:numId w:val="8"/>
        </w:numPr>
      </w:pPr>
      <w:r w:rsidRPr="00051F79">
        <w:t>Les hausses de prix extrêmes sont plus fréquentes que les baisses extrêmes</w:t>
      </w:r>
    </w:p>
    <w:p w14:paraId="6A2EC115" w14:textId="77777777" w:rsidR="00051F79" w:rsidRDefault="00051F79" w:rsidP="00051F79">
      <w:pPr>
        <w:numPr>
          <w:ilvl w:val="0"/>
          <w:numId w:val="8"/>
        </w:numPr>
      </w:pPr>
      <w:r w:rsidRPr="00051F79">
        <w:t>Existence de facteurs occasionnels provoquant des pics de prix significatifs</w:t>
      </w:r>
    </w:p>
    <w:p w14:paraId="50B45A6D" w14:textId="383D5BDD" w:rsidR="00DD5DB2" w:rsidRDefault="00DD5DB2" w:rsidP="00DD5DB2">
      <w:r>
        <w:rPr>
          <w:noProof/>
        </w:rPr>
        <w:lastRenderedPageBreak/>
        <w:drawing>
          <wp:inline distT="0" distB="0" distL="0" distR="0" wp14:anchorId="6CCC256D" wp14:editId="693E7AB0">
            <wp:extent cx="5760720" cy="3676015"/>
            <wp:effectExtent l="0" t="0" r="0" b="635"/>
            <wp:docPr id="106729480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676015"/>
                    </a:xfrm>
                    <a:prstGeom prst="rect">
                      <a:avLst/>
                    </a:prstGeom>
                    <a:noFill/>
                    <a:ln>
                      <a:noFill/>
                    </a:ln>
                  </pic:spPr>
                </pic:pic>
              </a:graphicData>
            </a:graphic>
          </wp:inline>
        </w:drawing>
      </w:r>
    </w:p>
    <w:p w14:paraId="16CBB741" w14:textId="77777777" w:rsidR="00DD5DB2" w:rsidRPr="00051F79" w:rsidRDefault="00DD5DB2" w:rsidP="00DD5DB2"/>
    <w:p w14:paraId="6A2EC116" w14:textId="77777777" w:rsidR="00051F79" w:rsidRPr="00051F79" w:rsidRDefault="00051F79" w:rsidP="00051F79">
      <w:pPr>
        <w:rPr>
          <w:b/>
          <w:bCs/>
        </w:rPr>
      </w:pPr>
      <w:r w:rsidRPr="00051F79">
        <w:rPr>
          <w:b/>
          <w:bCs/>
        </w:rPr>
        <w:t>3.5 Distribution des Prix par Région</w:t>
      </w:r>
    </w:p>
    <w:p w14:paraId="6A2EC117" w14:textId="77777777" w:rsidR="00051F79" w:rsidRPr="00051F79" w:rsidRDefault="00051F79" w:rsidP="00051F79">
      <w:r w:rsidRPr="00051F79">
        <w:t>Le diagramme en violon met en évidence :</w:t>
      </w:r>
    </w:p>
    <w:p w14:paraId="6A2EC118" w14:textId="77777777" w:rsidR="00051F79" w:rsidRPr="00051F79" w:rsidRDefault="00051F79" w:rsidP="00051F79">
      <w:pPr>
        <w:numPr>
          <w:ilvl w:val="0"/>
          <w:numId w:val="9"/>
        </w:numPr>
      </w:pPr>
      <w:r w:rsidRPr="00051F79">
        <w:rPr>
          <w:b/>
          <w:bCs/>
        </w:rPr>
        <w:t>Grande variabilité inter-régionale</w:t>
      </w:r>
      <w:r w:rsidRPr="00051F79">
        <w:t xml:space="preserve"> dans la distribution des prix</w:t>
      </w:r>
    </w:p>
    <w:p w14:paraId="6A2EC119" w14:textId="77777777" w:rsidR="00051F79" w:rsidRPr="00051F79" w:rsidRDefault="00051F79" w:rsidP="00051F79">
      <w:pPr>
        <w:numPr>
          <w:ilvl w:val="0"/>
          <w:numId w:val="9"/>
        </w:numPr>
      </w:pPr>
      <w:r w:rsidRPr="00051F79">
        <w:rPr>
          <w:b/>
          <w:bCs/>
        </w:rPr>
        <w:t>Normandie</w:t>
      </w:r>
      <w:r w:rsidRPr="00051F79">
        <w:t xml:space="preserve"> : Distribution très étendue, confirmant la volatilité observée</w:t>
      </w:r>
    </w:p>
    <w:p w14:paraId="6A2EC11A" w14:textId="77777777" w:rsidR="00051F79" w:rsidRPr="00051F79" w:rsidRDefault="00051F79" w:rsidP="00051F79">
      <w:pPr>
        <w:numPr>
          <w:ilvl w:val="0"/>
          <w:numId w:val="9"/>
        </w:numPr>
      </w:pPr>
      <w:r w:rsidRPr="00051F79">
        <w:rPr>
          <w:b/>
          <w:bCs/>
        </w:rPr>
        <w:t>PACA et Occitanie</w:t>
      </w:r>
      <w:r w:rsidRPr="00051F79">
        <w:t xml:space="preserve"> : Médianes élevées avec grande dispersion</w:t>
      </w:r>
    </w:p>
    <w:p w14:paraId="6A2EC11B" w14:textId="77777777" w:rsidR="00051F79" w:rsidRPr="00051F79" w:rsidRDefault="00051F79" w:rsidP="00051F79">
      <w:pPr>
        <w:numPr>
          <w:ilvl w:val="0"/>
          <w:numId w:val="9"/>
        </w:numPr>
      </w:pPr>
      <w:r w:rsidRPr="00051F79">
        <w:rPr>
          <w:b/>
          <w:bCs/>
        </w:rPr>
        <w:t>Île-de-France</w:t>
      </w:r>
      <w:r w:rsidRPr="00051F79">
        <w:t xml:space="preserve"> : Distribution resserrée, indiquant un marché plus stable</w:t>
      </w:r>
    </w:p>
    <w:p w14:paraId="6A2EC11C" w14:textId="77777777" w:rsidR="00051F79" w:rsidRPr="00051F79" w:rsidRDefault="00051F79" w:rsidP="00051F79">
      <w:r w:rsidRPr="00051F79">
        <w:t>Ces variations régionales soulignent l'importance des facteurs locaux dans la détermination des prix du GNR.</w:t>
      </w:r>
    </w:p>
    <w:p w14:paraId="6A2EC11D" w14:textId="77777777" w:rsidR="00051F79" w:rsidRPr="00051F79" w:rsidRDefault="00051F79" w:rsidP="00051F79">
      <w:pPr>
        <w:rPr>
          <w:b/>
          <w:bCs/>
        </w:rPr>
      </w:pPr>
      <w:r w:rsidRPr="00051F79">
        <w:rPr>
          <w:b/>
          <w:bCs/>
        </w:rPr>
        <w:t>4. Conclusions Principales</w:t>
      </w:r>
    </w:p>
    <w:p w14:paraId="6A2EC11E" w14:textId="77777777" w:rsidR="00051F79" w:rsidRPr="00051F79" w:rsidRDefault="00051F79" w:rsidP="00051F79">
      <w:pPr>
        <w:numPr>
          <w:ilvl w:val="0"/>
          <w:numId w:val="10"/>
        </w:numPr>
      </w:pPr>
      <w:r w:rsidRPr="00051F79">
        <w:rPr>
          <w:b/>
          <w:bCs/>
        </w:rPr>
        <w:t>Hétérogénéité spatiale et temporelle marquée</w:t>
      </w:r>
      <w:r w:rsidRPr="00051F79">
        <w:t xml:space="preserve"> des prix du GNR en France</w:t>
      </w:r>
    </w:p>
    <w:p w14:paraId="6A2EC11F" w14:textId="77777777" w:rsidR="00051F79" w:rsidRPr="00051F79" w:rsidRDefault="00051F79" w:rsidP="00051F79">
      <w:pPr>
        <w:numPr>
          <w:ilvl w:val="0"/>
          <w:numId w:val="10"/>
        </w:numPr>
      </w:pPr>
      <w:r w:rsidRPr="00051F79">
        <w:rPr>
          <w:b/>
          <w:bCs/>
        </w:rPr>
        <w:t>Influence prédominante des facteurs régionaux</w:t>
      </w:r>
      <w:r w:rsidRPr="00051F79">
        <w:t xml:space="preserve"> (géographie, infrastructure, demande locale) sur les prix</w:t>
      </w:r>
    </w:p>
    <w:p w14:paraId="6A2EC120" w14:textId="77777777" w:rsidR="00051F79" w:rsidRPr="00051F79" w:rsidRDefault="00051F79" w:rsidP="00051F79">
      <w:pPr>
        <w:numPr>
          <w:ilvl w:val="0"/>
          <w:numId w:val="10"/>
        </w:numPr>
      </w:pPr>
      <w:r w:rsidRPr="00051F79">
        <w:rPr>
          <w:b/>
          <w:bCs/>
        </w:rPr>
        <w:t>Tendance générale à la baisse</w:t>
      </w:r>
      <w:r w:rsidRPr="00051F79">
        <w:t xml:space="preserve"> sur la période étudiée, mais avec une </w:t>
      </w:r>
      <w:r w:rsidRPr="00051F79">
        <w:rPr>
          <w:b/>
          <w:bCs/>
        </w:rPr>
        <w:t>volatilité importante</w:t>
      </w:r>
    </w:p>
    <w:p w14:paraId="6A2EC121" w14:textId="77777777" w:rsidR="00051F79" w:rsidRPr="00051F79" w:rsidRDefault="00051F79" w:rsidP="00051F79">
      <w:pPr>
        <w:numPr>
          <w:ilvl w:val="0"/>
          <w:numId w:val="10"/>
        </w:numPr>
      </w:pPr>
      <w:r w:rsidRPr="00051F79">
        <w:rPr>
          <w:b/>
          <w:bCs/>
        </w:rPr>
        <w:t>Comportements atypiques</w:t>
      </w:r>
      <w:r w:rsidRPr="00051F79">
        <w:t xml:space="preserve"> dans certaines régions, notamment la Normandie</w:t>
      </w:r>
    </w:p>
    <w:p w14:paraId="6A2EC122" w14:textId="77777777" w:rsidR="00051F79" w:rsidRPr="00051F79" w:rsidRDefault="00051F79" w:rsidP="00051F79">
      <w:pPr>
        <w:numPr>
          <w:ilvl w:val="0"/>
          <w:numId w:val="10"/>
        </w:numPr>
      </w:pPr>
      <w:r w:rsidRPr="00051F79">
        <w:rPr>
          <w:b/>
          <w:bCs/>
        </w:rPr>
        <w:lastRenderedPageBreak/>
        <w:t>Distribution globale des prix</w:t>
      </w:r>
      <w:r w:rsidRPr="00051F79">
        <w:t xml:space="preserve"> indiquant un marché généralement stable mais sujet à des perturbations significatives</w:t>
      </w:r>
    </w:p>
    <w:p w14:paraId="6A2EC123" w14:textId="77777777" w:rsidR="00051F79" w:rsidRPr="00051F79" w:rsidRDefault="00051F79" w:rsidP="00051F79">
      <w:pPr>
        <w:rPr>
          <w:b/>
          <w:bCs/>
        </w:rPr>
      </w:pPr>
      <w:r w:rsidRPr="00051F79">
        <w:rPr>
          <w:b/>
          <w:bCs/>
        </w:rPr>
        <w:t>5. Recommandations et Perspectives</w:t>
      </w:r>
    </w:p>
    <w:p w14:paraId="6A2EC124" w14:textId="77777777" w:rsidR="00051F79" w:rsidRPr="00051F79" w:rsidRDefault="00051F79" w:rsidP="00051F79">
      <w:pPr>
        <w:numPr>
          <w:ilvl w:val="0"/>
          <w:numId w:val="11"/>
        </w:numPr>
      </w:pPr>
      <w:r w:rsidRPr="00051F79">
        <w:rPr>
          <w:b/>
          <w:bCs/>
        </w:rPr>
        <w:t>Approfondir l'analyse des facteurs régionaux</w:t>
      </w:r>
      <w:r w:rsidRPr="00051F79">
        <w:t xml:space="preserve"> : </w:t>
      </w:r>
    </w:p>
    <w:p w14:paraId="6A2EC125" w14:textId="77777777" w:rsidR="00051F79" w:rsidRPr="00051F79" w:rsidRDefault="00051F79" w:rsidP="00051F79">
      <w:pPr>
        <w:numPr>
          <w:ilvl w:val="1"/>
          <w:numId w:val="11"/>
        </w:numPr>
      </w:pPr>
      <w:r w:rsidRPr="00051F79">
        <w:t>Étudier en détail les infrastructures de transport et de stockage</w:t>
      </w:r>
    </w:p>
    <w:p w14:paraId="6A2EC126" w14:textId="77777777" w:rsidR="00051F79" w:rsidRPr="00051F79" w:rsidRDefault="00051F79" w:rsidP="00051F79">
      <w:pPr>
        <w:numPr>
          <w:ilvl w:val="1"/>
          <w:numId w:val="11"/>
        </w:numPr>
      </w:pPr>
      <w:r w:rsidRPr="00051F79">
        <w:t>Analyser l'impact des politiques énergétiques et fiscales régionales</w:t>
      </w:r>
    </w:p>
    <w:p w14:paraId="6A2EC127" w14:textId="77777777" w:rsidR="00051F79" w:rsidRPr="00051F79" w:rsidRDefault="00051F79" w:rsidP="00051F79">
      <w:pPr>
        <w:numPr>
          <w:ilvl w:val="0"/>
          <w:numId w:val="11"/>
        </w:numPr>
      </w:pPr>
      <w:r w:rsidRPr="00051F79">
        <w:rPr>
          <w:b/>
          <w:bCs/>
        </w:rPr>
        <w:t>Investiguer les causes des anomalies régionales</w:t>
      </w:r>
      <w:r w:rsidRPr="00051F79">
        <w:t xml:space="preserve"> : </w:t>
      </w:r>
    </w:p>
    <w:p w14:paraId="6A2EC128" w14:textId="77777777" w:rsidR="00051F79" w:rsidRPr="00051F79" w:rsidRDefault="00051F79" w:rsidP="00051F79">
      <w:pPr>
        <w:numPr>
          <w:ilvl w:val="1"/>
          <w:numId w:val="11"/>
        </w:numPr>
      </w:pPr>
      <w:r w:rsidRPr="00051F79">
        <w:t>Cas particulier de la Normandie : examiner les événements locaux, les problèmes d'approvisionnement potentiels</w:t>
      </w:r>
    </w:p>
    <w:p w14:paraId="6A2EC129" w14:textId="77777777" w:rsidR="00051F79" w:rsidRPr="00051F79" w:rsidRDefault="00051F79" w:rsidP="00051F79">
      <w:pPr>
        <w:numPr>
          <w:ilvl w:val="0"/>
          <w:numId w:val="11"/>
        </w:numPr>
      </w:pPr>
      <w:r w:rsidRPr="00051F79">
        <w:rPr>
          <w:b/>
          <w:bCs/>
        </w:rPr>
        <w:t>Développer des modèles prédictifs</w:t>
      </w:r>
      <w:r w:rsidRPr="00051F79">
        <w:t xml:space="preserve"> : </w:t>
      </w:r>
    </w:p>
    <w:p w14:paraId="6A2EC12A" w14:textId="77777777" w:rsidR="00051F79" w:rsidRPr="00051F79" w:rsidRDefault="00051F79" w:rsidP="00051F79">
      <w:pPr>
        <w:numPr>
          <w:ilvl w:val="1"/>
          <w:numId w:val="11"/>
        </w:numPr>
      </w:pPr>
      <w:r w:rsidRPr="00051F79">
        <w:t>Intégrer les tendances nationales et les spécificités régionales</w:t>
      </w:r>
    </w:p>
    <w:p w14:paraId="6A2EC12B" w14:textId="77777777" w:rsidR="00051F79" w:rsidRPr="00051F79" w:rsidRDefault="00051F79" w:rsidP="00051F79">
      <w:pPr>
        <w:numPr>
          <w:ilvl w:val="1"/>
          <w:numId w:val="11"/>
        </w:numPr>
      </w:pPr>
      <w:r w:rsidRPr="00051F79">
        <w:t>Inclure des variables macro-économiques (prix du pétrole brut, taux de change)</w:t>
      </w:r>
    </w:p>
    <w:p w14:paraId="6A2EC12C" w14:textId="77777777" w:rsidR="00051F79" w:rsidRPr="00051F79" w:rsidRDefault="00051F79" w:rsidP="00051F79">
      <w:pPr>
        <w:numPr>
          <w:ilvl w:val="0"/>
          <w:numId w:val="11"/>
        </w:numPr>
      </w:pPr>
      <w:r w:rsidRPr="00051F79">
        <w:rPr>
          <w:b/>
          <w:bCs/>
        </w:rPr>
        <w:t>Étude d'impact</w:t>
      </w:r>
      <w:r w:rsidRPr="00051F79">
        <w:t xml:space="preserve"> : </w:t>
      </w:r>
    </w:p>
    <w:p w14:paraId="6A2EC12D" w14:textId="77777777" w:rsidR="00051F79" w:rsidRPr="00051F79" w:rsidRDefault="00051F79" w:rsidP="00051F79">
      <w:pPr>
        <w:numPr>
          <w:ilvl w:val="1"/>
          <w:numId w:val="11"/>
        </w:numPr>
      </w:pPr>
      <w:r w:rsidRPr="00051F79">
        <w:t>Évaluer les conséquences des variations de prix sur les secteurs consommateurs de GNR (agriculture, BTP)</w:t>
      </w:r>
    </w:p>
    <w:p w14:paraId="6A2EC12E" w14:textId="77777777" w:rsidR="00051F79" w:rsidRPr="00051F79" w:rsidRDefault="00051F79" w:rsidP="00051F79">
      <w:pPr>
        <w:numPr>
          <w:ilvl w:val="1"/>
          <w:numId w:val="11"/>
        </w:numPr>
      </w:pPr>
      <w:r w:rsidRPr="00051F79">
        <w:t>Analyser les stratégies d'adaptation des entreprises face à la volatilité des prix</w:t>
      </w:r>
    </w:p>
    <w:p w14:paraId="6A2EC12F" w14:textId="77777777" w:rsidR="00051F79" w:rsidRPr="00051F79" w:rsidRDefault="00051F79" w:rsidP="00051F79">
      <w:pPr>
        <w:numPr>
          <w:ilvl w:val="0"/>
          <w:numId w:val="11"/>
        </w:numPr>
      </w:pPr>
      <w:r w:rsidRPr="00051F79">
        <w:rPr>
          <w:b/>
          <w:bCs/>
        </w:rPr>
        <w:t>Analyse comparative</w:t>
      </w:r>
      <w:r w:rsidRPr="00051F79">
        <w:t xml:space="preserve"> : </w:t>
      </w:r>
    </w:p>
    <w:p w14:paraId="6A2EC130" w14:textId="77777777" w:rsidR="00051F79" w:rsidRPr="00051F79" w:rsidRDefault="00051F79" w:rsidP="00051F79">
      <w:pPr>
        <w:numPr>
          <w:ilvl w:val="1"/>
          <w:numId w:val="11"/>
        </w:numPr>
      </w:pPr>
      <w:r w:rsidRPr="00051F79">
        <w:t>Comparer avec d'autres pays européens pour contextualiser les observations</w:t>
      </w:r>
    </w:p>
    <w:p w14:paraId="6A2EC131" w14:textId="77777777" w:rsidR="00051F79" w:rsidRPr="00051F79" w:rsidRDefault="00051F79" w:rsidP="00051F79">
      <w:pPr>
        <w:numPr>
          <w:ilvl w:val="1"/>
          <w:numId w:val="11"/>
        </w:numPr>
      </w:pPr>
      <w:r w:rsidRPr="00051F79">
        <w:t>Étudier les corrélations avec d'autres marchés énergétiques</w:t>
      </w:r>
    </w:p>
    <w:p w14:paraId="6A2EC132" w14:textId="77777777" w:rsidR="00051F79" w:rsidRPr="00051F79" w:rsidRDefault="00051F79" w:rsidP="00051F79">
      <w:pPr>
        <w:numPr>
          <w:ilvl w:val="0"/>
          <w:numId w:val="11"/>
        </w:numPr>
      </w:pPr>
      <w:r w:rsidRPr="00051F79">
        <w:rPr>
          <w:b/>
          <w:bCs/>
        </w:rPr>
        <w:t>Étude longitudinale</w:t>
      </w:r>
      <w:r w:rsidRPr="00051F79">
        <w:t xml:space="preserve"> : </w:t>
      </w:r>
    </w:p>
    <w:p w14:paraId="6A2EC133" w14:textId="77777777" w:rsidR="00051F79" w:rsidRPr="00051F79" w:rsidRDefault="00051F79" w:rsidP="00051F79">
      <w:pPr>
        <w:numPr>
          <w:ilvl w:val="1"/>
          <w:numId w:val="11"/>
        </w:numPr>
      </w:pPr>
      <w:r w:rsidRPr="00051F79">
        <w:t>Étendre l'analyse sur plusieurs années pour identifier les tendances à long terme et les cycles saisonniers</w:t>
      </w:r>
    </w:p>
    <w:p w14:paraId="6A2EC134" w14:textId="77777777" w:rsidR="00051F79" w:rsidRPr="00051F79" w:rsidRDefault="00051F79" w:rsidP="00051F79">
      <w:pPr>
        <w:numPr>
          <w:ilvl w:val="0"/>
          <w:numId w:val="11"/>
        </w:numPr>
      </w:pPr>
      <w:r w:rsidRPr="00051F79">
        <w:rPr>
          <w:b/>
          <w:bCs/>
        </w:rPr>
        <w:t>Analyse des politiques publiques</w:t>
      </w:r>
      <w:r w:rsidRPr="00051F79">
        <w:t xml:space="preserve"> : </w:t>
      </w:r>
    </w:p>
    <w:p w14:paraId="6A2EC135" w14:textId="77777777" w:rsidR="00051F79" w:rsidRPr="00051F79" w:rsidRDefault="00051F79" w:rsidP="00051F79">
      <w:pPr>
        <w:numPr>
          <w:ilvl w:val="1"/>
          <w:numId w:val="11"/>
        </w:numPr>
      </w:pPr>
      <w:r w:rsidRPr="00051F79">
        <w:t>Évaluer l'efficacité des interventions gouvernementales sur la stabilité des prix</w:t>
      </w:r>
    </w:p>
    <w:p w14:paraId="6A2EC136" w14:textId="77777777" w:rsidR="00051F79" w:rsidRPr="00051F79" w:rsidRDefault="00051F79" w:rsidP="00051F79">
      <w:pPr>
        <w:numPr>
          <w:ilvl w:val="1"/>
          <w:numId w:val="11"/>
        </w:numPr>
      </w:pPr>
      <w:r w:rsidRPr="00051F79">
        <w:t>Proposer des mécanismes de régulation pour atténuer les disparités régionales</w:t>
      </w:r>
    </w:p>
    <w:p w14:paraId="6A2EC137" w14:textId="77777777" w:rsidR="00051F79" w:rsidRPr="00051F79" w:rsidRDefault="00051F79" w:rsidP="00051F79">
      <w:pPr>
        <w:rPr>
          <w:b/>
          <w:bCs/>
        </w:rPr>
      </w:pPr>
      <w:r w:rsidRPr="00051F79">
        <w:rPr>
          <w:b/>
          <w:bCs/>
        </w:rPr>
        <w:t>6. Conclusion</w:t>
      </w:r>
    </w:p>
    <w:p w14:paraId="6A2EC138" w14:textId="77777777" w:rsidR="00051F79" w:rsidRPr="00051F79" w:rsidRDefault="00051F79" w:rsidP="00051F79">
      <w:r w:rsidRPr="00051F79">
        <w:lastRenderedPageBreak/>
        <w:t>Cette analyse approfondie des prix du GNR en France révèle un marché complexe, caractérisé par d'importantes variations spatiales et temporelles. Les disparités régionales observées soulignent la nécessité d'une approche différenciée dans la gestion et la régulation de ce marché. La volatilité des prix, particulièrement prononcée dans certaines régions, appelle à une vigilance accrue et à la mise en place de mécanismes de stabilisation.</w:t>
      </w:r>
    </w:p>
    <w:p w14:paraId="6A2EC139" w14:textId="77777777" w:rsidR="00051F79" w:rsidRPr="00051F79" w:rsidRDefault="00051F79" w:rsidP="00051F79">
      <w:r w:rsidRPr="00051F79">
        <w:t>Les tendances identifiées fournissent une base solide pour la prise de décision stratégique, tant pour les acteurs publics que privés du secteur. La poursuite de cette étude, en intégrant des données supplémentaires et en élargissant la période d'analyse, permettra d'affiner notre compréhension de ce marché crucial pour de nombreux secteurs de l'économie française.</w:t>
      </w:r>
    </w:p>
    <w:p w14:paraId="6A2EC13A" w14:textId="77777777" w:rsidR="005D1FFF" w:rsidRDefault="005D1FFF"/>
    <w:sectPr w:rsidR="005D1FF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MU Serif">
    <w:panose1 w:val="02000603000000000000"/>
    <w:charset w:val="00"/>
    <w:family w:val="auto"/>
    <w:pitch w:val="variable"/>
    <w:sig w:usb0="E10002FF" w:usb1="5201E9EB" w:usb2="02020004"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294E30"/>
    <w:multiLevelType w:val="multilevel"/>
    <w:tmpl w:val="8E0AA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686E73"/>
    <w:multiLevelType w:val="multilevel"/>
    <w:tmpl w:val="E3503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4D36A1"/>
    <w:multiLevelType w:val="multilevel"/>
    <w:tmpl w:val="0804FF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07521C"/>
    <w:multiLevelType w:val="multilevel"/>
    <w:tmpl w:val="9FBEE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58017C"/>
    <w:multiLevelType w:val="multilevel"/>
    <w:tmpl w:val="49A6E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114EFA"/>
    <w:multiLevelType w:val="multilevel"/>
    <w:tmpl w:val="2A3EE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F61E04"/>
    <w:multiLevelType w:val="multilevel"/>
    <w:tmpl w:val="883E5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FA5D58"/>
    <w:multiLevelType w:val="multilevel"/>
    <w:tmpl w:val="7DF0F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C340EB"/>
    <w:multiLevelType w:val="multilevel"/>
    <w:tmpl w:val="86865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9293EBA"/>
    <w:multiLevelType w:val="multilevel"/>
    <w:tmpl w:val="36ACBA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1E30C6"/>
    <w:multiLevelType w:val="multilevel"/>
    <w:tmpl w:val="CFAA4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8755086">
    <w:abstractNumId w:val="8"/>
  </w:num>
  <w:num w:numId="2" w16cid:durableId="2094204582">
    <w:abstractNumId w:val="2"/>
  </w:num>
  <w:num w:numId="3" w16cid:durableId="551621301">
    <w:abstractNumId w:val="4"/>
  </w:num>
  <w:num w:numId="4" w16cid:durableId="371156058">
    <w:abstractNumId w:val="9"/>
  </w:num>
  <w:num w:numId="5" w16cid:durableId="1352339718">
    <w:abstractNumId w:val="1"/>
  </w:num>
  <w:num w:numId="6" w16cid:durableId="96412251">
    <w:abstractNumId w:val="6"/>
  </w:num>
  <w:num w:numId="7" w16cid:durableId="185756600">
    <w:abstractNumId w:val="5"/>
  </w:num>
  <w:num w:numId="8" w16cid:durableId="574315045">
    <w:abstractNumId w:val="7"/>
  </w:num>
  <w:num w:numId="9" w16cid:durableId="1259602561">
    <w:abstractNumId w:val="10"/>
  </w:num>
  <w:num w:numId="10" w16cid:durableId="1397510272">
    <w:abstractNumId w:val="3"/>
  </w:num>
  <w:num w:numId="11" w16cid:durableId="5649487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DFF"/>
    <w:rsid w:val="00051F79"/>
    <w:rsid w:val="000E75CF"/>
    <w:rsid w:val="002B421D"/>
    <w:rsid w:val="00525D4B"/>
    <w:rsid w:val="005A4DFF"/>
    <w:rsid w:val="005D1FFF"/>
    <w:rsid w:val="0074352F"/>
    <w:rsid w:val="007874EE"/>
    <w:rsid w:val="00996917"/>
    <w:rsid w:val="009A1FA3"/>
    <w:rsid w:val="00BB48A8"/>
    <w:rsid w:val="00C86BA2"/>
    <w:rsid w:val="00DC280D"/>
    <w:rsid w:val="00DD5DB2"/>
    <w:rsid w:val="00E20AFB"/>
    <w:rsid w:val="00EC7B8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A2EC0E2"/>
  <w14:defaultImageDpi w14:val="32767"/>
  <w15:chartTrackingRefBased/>
  <w15:docId w15:val="{A71B47B1-1FC8-4849-B367-1B46B5644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MU Serif" w:eastAsiaTheme="minorHAnsi" w:hAnsi="CMU Serif" w:cs="CMU Serif"/>
        <w:kern w:val="2"/>
        <w:sz w:val="24"/>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A4D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5A4D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5A4DFF"/>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5A4DFF"/>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itre5">
    <w:name w:val="heading 5"/>
    <w:basedOn w:val="Normal"/>
    <w:next w:val="Normal"/>
    <w:link w:val="Titre5Car"/>
    <w:uiPriority w:val="9"/>
    <w:semiHidden/>
    <w:unhideWhenUsed/>
    <w:qFormat/>
    <w:rsid w:val="005A4DFF"/>
    <w:pPr>
      <w:keepNext/>
      <w:keepLines/>
      <w:spacing w:before="80" w:after="40"/>
      <w:outlineLvl w:val="4"/>
    </w:pPr>
    <w:rPr>
      <w:rFonts w:asciiTheme="minorHAnsi" w:eastAsiaTheme="majorEastAsia" w:hAnsiTheme="minorHAnsi" w:cstheme="majorBidi"/>
      <w:color w:val="0F4761" w:themeColor="accent1" w:themeShade="BF"/>
    </w:rPr>
  </w:style>
  <w:style w:type="paragraph" w:styleId="Titre6">
    <w:name w:val="heading 6"/>
    <w:basedOn w:val="Normal"/>
    <w:next w:val="Normal"/>
    <w:link w:val="Titre6Car"/>
    <w:uiPriority w:val="9"/>
    <w:semiHidden/>
    <w:unhideWhenUsed/>
    <w:qFormat/>
    <w:rsid w:val="005A4DFF"/>
    <w:pPr>
      <w:keepNext/>
      <w:keepLines/>
      <w:spacing w:before="40" w:after="0"/>
      <w:outlineLvl w:val="5"/>
    </w:pPr>
    <w:rPr>
      <w:rFonts w:asciiTheme="minorHAnsi" w:eastAsiaTheme="majorEastAsia" w:hAnsiTheme="minorHAnsi" w:cstheme="majorBidi"/>
      <w:i/>
      <w:iCs/>
      <w:color w:val="595959" w:themeColor="text1" w:themeTint="A6"/>
    </w:rPr>
  </w:style>
  <w:style w:type="paragraph" w:styleId="Titre7">
    <w:name w:val="heading 7"/>
    <w:basedOn w:val="Normal"/>
    <w:next w:val="Normal"/>
    <w:link w:val="Titre7Car"/>
    <w:uiPriority w:val="9"/>
    <w:semiHidden/>
    <w:unhideWhenUsed/>
    <w:qFormat/>
    <w:rsid w:val="005A4DFF"/>
    <w:pPr>
      <w:keepNext/>
      <w:keepLines/>
      <w:spacing w:before="40" w:after="0"/>
      <w:outlineLvl w:val="6"/>
    </w:pPr>
    <w:rPr>
      <w:rFonts w:asciiTheme="minorHAnsi" w:eastAsiaTheme="majorEastAsia" w:hAnsiTheme="minorHAnsi" w:cstheme="majorBidi"/>
      <w:color w:val="595959" w:themeColor="text1" w:themeTint="A6"/>
    </w:rPr>
  </w:style>
  <w:style w:type="paragraph" w:styleId="Titre8">
    <w:name w:val="heading 8"/>
    <w:basedOn w:val="Normal"/>
    <w:next w:val="Normal"/>
    <w:link w:val="Titre8Car"/>
    <w:uiPriority w:val="9"/>
    <w:semiHidden/>
    <w:unhideWhenUsed/>
    <w:qFormat/>
    <w:rsid w:val="005A4DFF"/>
    <w:pPr>
      <w:keepNext/>
      <w:keepLines/>
      <w:spacing w:after="0"/>
      <w:outlineLvl w:val="7"/>
    </w:pPr>
    <w:rPr>
      <w:rFonts w:asciiTheme="minorHAnsi" w:eastAsiaTheme="majorEastAsia" w:hAnsiTheme="minorHAnsi" w:cstheme="majorBidi"/>
      <w:i/>
      <w:iCs/>
      <w:color w:val="272727" w:themeColor="text1" w:themeTint="D8"/>
    </w:rPr>
  </w:style>
  <w:style w:type="paragraph" w:styleId="Titre9">
    <w:name w:val="heading 9"/>
    <w:basedOn w:val="Normal"/>
    <w:next w:val="Normal"/>
    <w:link w:val="Titre9Car"/>
    <w:uiPriority w:val="9"/>
    <w:semiHidden/>
    <w:unhideWhenUsed/>
    <w:qFormat/>
    <w:rsid w:val="005A4DFF"/>
    <w:pPr>
      <w:keepNext/>
      <w:keepLines/>
      <w:spacing w:after="0"/>
      <w:outlineLvl w:val="8"/>
    </w:pPr>
    <w:rPr>
      <w:rFonts w:asciiTheme="minorHAnsi" w:eastAsiaTheme="majorEastAsia" w:hAnsiTheme="minorHAnsi"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4DFF"/>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5A4DFF"/>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5A4DFF"/>
    <w:rPr>
      <w:rFonts w:asciiTheme="minorHAnsi" w:eastAsiaTheme="majorEastAsia" w:hAnsiTheme="minorHAnsi" w:cstheme="majorBidi"/>
      <w:color w:val="0F4761" w:themeColor="accent1" w:themeShade="BF"/>
      <w:sz w:val="28"/>
      <w:szCs w:val="28"/>
    </w:rPr>
  </w:style>
  <w:style w:type="character" w:customStyle="1" w:styleId="Titre4Car">
    <w:name w:val="Titre 4 Car"/>
    <w:basedOn w:val="Policepardfaut"/>
    <w:link w:val="Titre4"/>
    <w:uiPriority w:val="9"/>
    <w:semiHidden/>
    <w:rsid w:val="005A4DFF"/>
    <w:rPr>
      <w:rFonts w:asciiTheme="minorHAnsi" w:eastAsiaTheme="majorEastAsia" w:hAnsiTheme="minorHAnsi" w:cstheme="majorBidi"/>
      <w:i/>
      <w:iCs/>
      <w:color w:val="0F4761" w:themeColor="accent1" w:themeShade="BF"/>
    </w:rPr>
  </w:style>
  <w:style w:type="character" w:customStyle="1" w:styleId="Titre5Car">
    <w:name w:val="Titre 5 Car"/>
    <w:basedOn w:val="Policepardfaut"/>
    <w:link w:val="Titre5"/>
    <w:uiPriority w:val="9"/>
    <w:semiHidden/>
    <w:rsid w:val="005A4DFF"/>
    <w:rPr>
      <w:rFonts w:asciiTheme="minorHAnsi" w:eastAsiaTheme="majorEastAsia" w:hAnsiTheme="minorHAnsi" w:cstheme="majorBidi"/>
      <w:color w:val="0F4761" w:themeColor="accent1" w:themeShade="BF"/>
    </w:rPr>
  </w:style>
  <w:style w:type="character" w:customStyle="1" w:styleId="Titre6Car">
    <w:name w:val="Titre 6 Car"/>
    <w:basedOn w:val="Policepardfaut"/>
    <w:link w:val="Titre6"/>
    <w:uiPriority w:val="9"/>
    <w:semiHidden/>
    <w:rsid w:val="005A4DFF"/>
    <w:rPr>
      <w:rFonts w:asciiTheme="minorHAnsi" w:eastAsiaTheme="majorEastAsia" w:hAnsiTheme="minorHAnsi" w:cstheme="majorBidi"/>
      <w:i/>
      <w:iCs/>
      <w:color w:val="595959" w:themeColor="text1" w:themeTint="A6"/>
    </w:rPr>
  </w:style>
  <w:style w:type="character" w:customStyle="1" w:styleId="Titre7Car">
    <w:name w:val="Titre 7 Car"/>
    <w:basedOn w:val="Policepardfaut"/>
    <w:link w:val="Titre7"/>
    <w:uiPriority w:val="9"/>
    <w:semiHidden/>
    <w:rsid w:val="005A4DFF"/>
    <w:rPr>
      <w:rFonts w:asciiTheme="minorHAnsi" w:eastAsiaTheme="majorEastAsia" w:hAnsiTheme="minorHAnsi" w:cstheme="majorBidi"/>
      <w:color w:val="595959" w:themeColor="text1" w:themeTint="A6"/>
    </w:rPr>
  </w:style>
  <w:style w:type="character" w:customStyle="1" w:styleId="Titre8Car">
    <w:name w:val="Titre 8 Car"/>
    <w:basedOn w:val="Policepardfaut"/>
    <w:link w:val="Titre8"/>
    <w:uiPriority w:val="9"/>
    <w:semiHidden/>
    <w:rsid w:val="005A4DFF"/>
    <w:rPr>
      <w:rFonts w:asciiTheme="minorHAnsi" w:eastAsiaTheme="majorEastAsia" w:hAnsiTheme="minorHAnsi" w:cstheme="majorBidi"/>
      <w:i/>
      <w:iCs/>
      <w:color w:val="272727" w:themeColor="text1" w:themeTint="D8"/>
    </w:rPr>
  </w:style>
  <w:style w:type="character" w:customStyle="1" w:styleId="Titre9Car">
    <w:name w:val="Titre 9 Car"/>
    <w:basedOn w:val="Policepardfaut"/>
    <w:link w:val="Titre9"/>
    <w:uiPriority w:val="9"/>
    <w:semiHidden/>
    <w:rsid w:val="005A4DFF"/>
    <w:rPr>
      <w:rFonts w:asciiTheme="minorHAnsi" w:eastAsiaTheme="majorEastAsia" w:hAnsiTheme="minorHAnsi" w:cstheme="majorBidi"/>
      <w:color w:val="272727" w:themeColor="text1" w:themeTint="D8"/>
    </w:rPr>
  </w:style>
  <w:style w:type="paragraph" w:styleId="Titre">
    <w:name w:val="Title"/>
    <w:basedOn w:val="Normal"/>
    <w:next w:val="Normal"/>
    <w:link w:val="TitreCar"/>
    <w:uiPriority w:val="10"/>
    <w:qFormat/>
    <w:rsid w:val="005A4D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4DF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4DFF"/>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4DFF"/>
    <w:rPr>
      <w:rFonts w:asciiTheme="minorHAnsi" w:eastAsiaTheme="majorEastAsia" w:hAnsiTheme="minorHAnsi" w:cstheme="majorBidi"/>
      <w:color w:val="595959" w:themeColor="text1" w:themeTint="A6"/>
      <w:spacing w:val="15"/>
      <w:sz w:val="28"/>
      <w:szCs w:val="28"/>
    </w:rPr>
  </w:style>
  <w:style w:type="paragraph" w:styleId="Citation">
    <w:name w:val="Quote"/>
    <w:basedOn w:val="Normal"/>
    <w:next w:val="Normal"/>
    <w:link w:val="CitationCar"/>
    <w:uiPriority w:val="29"/>
    <w:qFormat/>
    <w:rsid w:val="005A4DFF"/>
    <w:pPr>
      <w:spacing w:before="160"/>
      <w:jc w:val="center"/>
    </w:pPr>
    <w:rPr>
      <w:i/>
      <w:iCs/>
      <w:color w:val="404040" w:themeColor="text1" w:themeTint="BF"/>
    </w:rPr>
  </w:style>
  <w:style w:type="character" w:customStyle="1" w:styleId="CitationCar">
    <w:name w:val="Citation Car"/>
    <w:basedOn w:val="Policepardfaut"/>
    <w:link w:val="Citation"/>
    <w:uiPriority w:val="29"/>
    <w:rsid w:val="005A4DFF"/>
    <w:rPr>
      <w:i/>
      <w:iCs/>
      <w:color w:val="404040" w:themeColor="text1" w:themeTint="BF"/>
    </w:rPr>
  </w:style>
  <w:style w:type="paragraph" w:styleId="Paragraphedeliste">
    <w:name w:val="List Paragraph"/>
    <w:basedOn w:val="Normal"/>
    <w:uiPriority w:val="34"/>
    <w:qFormat/>
    <w:rsid w:val="005A4DFF"/>
    <w:pPr>
      <w:ind w:left="720"/>
      <w:contextualSpacing/>
    </w:pPr>
  </w:style>
  <w:style w:type="character" w:styleId="Accentuationintense">
    <w:name w:val="Intense Emphasis"/>
    <w:basedOn w:val="Policepardfaut"/>
    <w:uiPriority w:val="21"/>
    <w:qFormat/>
    <w:rsid w:val="005A4DFF"/>
    <w:rPr>
      <w:i/>
      <w:iCs/>
      <w:color w:val="0F4761" w:themeColor="accent1" w:themeShade="BF"/>
    </w:rPr>
  </w:style>
  <w:style w:type="paragraph" w:styleId="Citationintense">
    <w:name w:val="Intense Quote"/>
    <w:basedOn w:val="Normal"/>
    <w:next w:val="Normal"/>
    <w:link w:val="CitationintenseCar"/>
    <w:uiPriority w:val="30"/>
    <w:qFormat/>
    <w:rsid w:val="005A4D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5A4DFF"/>
    <w:rPr>
      <w:i/>
      <w:iCs/>
      <w:color w:val="0F4761" w:themeColor="accent1" w:themeShade="BF"/>
    </w:rPr>
  </w:style>
  <w:style w:type="character" w:styleId="Rfrenceintense">
    <w:name w:val="Intense Reference"/>
    <w:basedOn w:val="Policepardfaut"/>
    <w:uiPriority w:val="32"/>
    <w:qFormat/>
    <w:rsid w:val="005A4DF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2775765">
      <w:bodyDiv w:val="1"/>
      <w:marLeft w:val="0"/>
      <w:marRight w:val="0"/>
      <w:marTop w:val="0"/>
      <w:marBottom w:val="0"/>
      <w:divBdr>
        <w:top w:val="none" w:sz="0" w:space="0" w:color="auto"/>
        <w:left w:val="none" w:sz="0" w:space="0" w:color="auto"/>
        <w:bottom w:val="none" w:sz="0" w:space="0" w:color="auto"/>
        <w:right w:val="none" w:sz="0" w:space="0" w:color="auto"/>
      </w:divBdr>
    </w:div>
    <w:div w:id="1067875792">
      <w:bodyDiv w:val="1"/>
      <w:marLeft w:val="0"/>
      <w:marRight w:val="0"/>
      <w:marTop w:val="0"/>
      <w:marBottom w:val="0"/>
      <w:divBdr>
        <w:top w:val="none" w:sz="0" w:space="0" w:color="auto"/>
        <w:left w:val="none" w:sz="0" w:space="0" w:color="auto"/>
        <w:bottom w:val="none" w:sz="0" w:space="0" w:color="auto"/>
        <w:right w:val="none" w:sz="0" w:space="0" w:color="auto"/>
      </w:divBdr>
    </w:div>
    <w:div w:id="1445423301">
      <w:bodyDiv w:val="1"/>
      <w:marLeft w:val="0"/>
      <w:marRight w:val="0"/>
      <w:marTop w:val="0"/>
      <w:marBottom w:val="0"/>
      <w:divBdr>
        <w:top w:val="none" w:sz="0" w:space="0" w:color="auto"/>
        <w:left w:val="none" w:sz="0" w:space="0" w:color="auto"/>
        <w:bottom w:val="none" w:sz="0" w:space="0" w:color="auto"/>
        <w:right w:val="none" w:sz="0" w:space="0" w:color="auto"/>
      </w:divBdr>
    </w:div>
    <w:div w:id="1967813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7</Pages>
  <Words>952</Words>
  <Characters>5239</Characters>
  <Application>Microsoft Office Word</Application>
  <DocSecurity>0</DocSecurity>
  <Lines>43</Lines>
  <Paragraphs>12</Paragraphs>
  <ScaleCrop>false</ScaleCrop>
  <Company/>
  <LinksUpToDate>false</LinksUpToDate>
  <CharactersWithSpaces>6179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Yassine Nadrani</dc:creator>
  <cp:keywords/>
  <dc:description/>
  <cp:lastModifiedBy>Yassine Nadrani</cp:lastModifiedBy>
  <cp:revision>9</cp:revision>
  <dcterms:created xsi:type="dcterms:W3CDTF">2024-10-08T14:30:00Z</dcterms:created>
  <dcterms:modified xsi:type="dcterms:W3CDTF">2024-10-09T10:47:00Z</dcterms:modified>
</cp:coreProperties>
</file>