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8.png" ContentType="image/png"/>
  <Override PartName="/word/media/rId64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эпидемии (SIR)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модель SIR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в в</w:t>
      </w:r>
      <w:r>
        <w:t xml:space="preserve"> </w:t>
      </w:r>
      <w:r>
        <w:rPr>
          <w:i/>
          <w:iCs/>
        </w:rPr>
        <w:t xml:space="preserve">xcos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с помощью блока Modelica в в</w:t>
      </w:r>
      <w:r>
        <w:t xml:space="preserve"> </w:t>
      </w:r>
      <w:r>
        <w:rPr>
          <w:i/>
          <w:iCs/>
        </w:rPr>
        <w:t xml:space="preserve">xcos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в OpenModelica;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с учётом процесса рождения / гибели особей в xcos (в том числе и с использованием блока Modelica), а также в OpenModelica;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эпидемического порога при различных значениях параметров модели (в частности изменяя параметр</w:t>
      </w:r>
      <w:r>
        <w:t xml:space="preserve"> </w:t>
      </w:r>
      <m:oMath>
        <m:r>
          <m:t>μ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Сделать анализ полученных графиков в зависимости от выбранных значений параметров модели.</w:t>
      </w:r>
    </w:p>
    <w:bookmarkEnd w:id="21"/>
    <w:bookmarkStart w:id="12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Задача о распространении эпидемии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– скорость заражения,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– скорость выздоровления.</w:t>
      </w:r>
    </w:p>
    <w:bookmarkStart w:id="46" w:name="реализация-модели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Зафиксируем начальные данные: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ν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  <m:r>
          <m:rPr>
            <m:sty m:val="p"/>
          </m:rPr>
          <m:t>,</m:t>
        </m:r>
        <m:r>
          <m:t> 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  <m:r>
          <m:rPr>
            <m:sty m:val="p"/>
          </m:rPr>
          <m:t>,</m:t>
        </m:r>
        <m:r>
          <m:t> 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В меню Моделирование, Установить контекст зададим значения переменных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(рис. 1).</w:t>
      </w:r>
    </w:p>
    <w:bookmarkStart w:id="25" w:name="fig:001"/>
    <w:p>
      <w:pPr>
        <w:pStyle w:val="CaptionedFigure"/>
      </w:pPr>
      <w:r>
        <w:drawing>
          <wp:inline>
            <wp:extent cx="3550023" cy="2074689"/>
            <wp:effectExtent b="0" l="0" r="0" t="0"/>
            <wp:docPr descr="Рис. 1: Задание переменных окружения в xco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207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переменных окружения в xcos</w:t>
      </w:r>
    </w:p>
    <w:bookmarkEnd w:id="25"/>
    <w:p>
      <w:pPr>
        <w:pStyle w:val="BodyText"/>
      </w:pPr>
      <w:r>
        <w:t xml:space="preserve">Для реализации модели (рис. 2) потребуются следующие блоки xcos: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CLOCK_c</w:t>
      </w:r>
      <w:r>
        <w:t xml:space="preserve"> </w:t>
      </w:r>
      <w:r>
        <w:t xml:space="preserve">– запуск часов модельного времени;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CSCOPE</w:t>
      </w:r>
      <w:r>
        <w:t xml:space="preserve"> </w:t>
      </w:r>
      <w:r>
        <w:t xml:space="preserve">– регистрирующее устройство для построения графика;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TEXT_f</w:t>
      </w:r>
      <w:r>
        <w:t xml:space="preserve"> </w:t>
      </w:r>
      <w:r>
        <w:t xml:space="preserve">– задаёт текст примечаний;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MUX</w:t>
      </w:r>
      <w:r>
        <w:t xml:space="preserve"> </w:t>
      </w:r>
      <w:r>
        <w:t xml:space="preserve">– мультиплексер, позволяющий в данном случае вывести на графике сразу</w:t>
      </w:r>
      <w:r>
        <w:t xml:space="preserve"> </w:t>
      </w:r>
      <w:r>
        <w:t xml:space="preserve">несколько кривых;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INTEGRAL_m</w:t>
      </w:r>
      <w:r>
        <w:t xml:space="preserve"> </w:t>
      </w:r>
      <w:r>
        <w:t xml:space="preserve">– блок интегрирования;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GAINBLK_f</w:t>
      </w:r>
      <w:r>
        <w:t xml:space="preserve"> </w:t>
      </w:r>
      <w:r>
        <w:t xml:space="preserve">– в данном случае позволяет задать значения коэффициентов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SUMMATION</w:t>
      </w:r>
      <w:r>
        <w:t xml:space="preserve"> </w:t>
      </w:r>
      <w:r>
        <w:t xml:space="preserve">– блок суммирования;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PROD_f</w:t>
      </w:r>
      <w:r>
        <w:t xml:space="preserve"> </w:t>
      </w:r>
      <w:r>
        <w:t xml:space="preserve">– поэлементное произведение двух векторов на входе блока.</w:t>
      </w:r>
    </w:p>
    <w:bookmarkStart w:id="29" w:name="fig:002"/>
    <w:p>
      <w:pPr>
        <w:pStyle w:val="CaptionedFigure"/>
      </w:pPr>
      <w:r>
        <w:drawing>
          <wp:inline>
            <wp:extent cx="3733800" cy="2388193"/>
            <wp:effectExtent b="0" l="0" r="0" t="0"/>
            <wp:docPr descr="Рис. 2: Модель SIR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SIR в xcos</w:t>
      </w:r>
    </w:p>
    <w:bookmarkEnd w:id="29"/>
    <w:p>
      <w:pPr>
        <w:pStyle w:val="BodyText"/>
      </w:pPr>
      <w:r>
        <w:t xml:space="preserve">В параметрах верхнего и среднего блока интегрирования необходимо задать начальные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 </w:t>
      </w:r>
      <w:r>
        <w:t xml:space="preserve">(рис. 3,4).</w:t>
      </w:r>
    </w:p>
    <w:bookmarkStart w:id="33" w:name="fig:003"/>
    <w:p>
      <w:pPr>
        <w:pStyle w:val="CaptionedFigure"/>
      </w:pPr>
      <w:r>
        <w:drawing>
          <wp:inline>
            <wp:extent cx="3196557" cy="2128477"/>
            <wp:effectExtent b="0" l="0" r="0" t="0"/>
            <wp:docPr descr="Рис. 3: Задание начальных значений в блоках интегрирования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212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начальных значений в блоках интегрирования</w:t>
      </w:r>
    </w:p>
    <w:bookmarkEnd w:id="33"/>
    <w:bookmarkStart w:id="37" w:name="fig:004"/>
    <w:p>
      <w:pPr>
        <w:pStyle w:val="CaptionedFigure"/>
      </w:pPr>
      <w:r>
        <w:drawing>
          <wp:inline>
            <wp:extent cx="3242662" cy="2205317"/>
            <wp:effectExtent b="0" l="0" r="0" t="0"/>
            <wp:docPr descr="Рис. 4: Задание начальных значений в блоках интегрирован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начальных значений в блоках интегрирования</w:t>
      </w:r>
    </w:p>
    <w:bookmarkEnd w:id="37"/>
    <w:p>
      <w:pPr>
        <w:pStyle w:val="BodyText"/>
      </w:pPr>
      <w:r>
        <w:t xml:space="preserve">В меню Моделирование, Установка зададим конечное время интегрирования, равным времени моделирования, в данном случае 30 (рис. 5).</w:t>
      </w:r>
    </w:p>
    <w:bookmarkStart w:id="41" w:name="fig:005"/>
    <w:p>
      <w:pPr>
        <w:pStyle w:val="CaptionedFigure"/>
      </w:pPr>
      <w:r>
        <w:drawing>
          <wp:inline>
            <wp:extent cx="3733800" cy="1962028"/>
            <wp:effectExtent b="0" l="0" r="0" t="0"/>
            <wp:docPr descr="Рис. 5: Задание конечного времени интегрирования в xcos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конечного времени интегрирования в xcos</w:t>
      </w:r>
    </w:p>
    <w:bookmarkEnd w:id="41"/>
    <w:p>
      <w:pPr>
        <w:pStyle w:val="BodyText"/>
      </w:pPr>
      <w:r>
        <w:t xml:space="preserve">Результат моделирования представлен на рис. 6, где черной линией обозначен график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(динамика численности уязвимых к болезни особей), красная</w:t>
      </w:r>
      <w:r>
        <w:t xml:space="preserve"> </w:t>
      </w:r>
      <w:r>
        <w:t xml:space="preserve">линия определяет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выздоровевших особей, наконец,</w:t>
      </w:r>
      <w:r>
        <w:t xml:space="preserve"> </w:t>
      </w:r>
      <w:r>
        <w:t xml:space="preserve">зеленая линия определяет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заражённых</w:t>
      </w:r>
      <w:r>
        <w:t xml:space="preserve"> </w:t>
      </w:r>
      <w:r>
        <w:t xml:space="preserve">особей. Пересечение трёх линий определяет порог эпидемии.</w:t>
      </w:r>
    </w:p>
    <w:bookmarkStart w:id="45" w:name="fig:006"/>
    <w:p>
      <w:pPr>
        <w:pStyle w:val="CaptionedFigure"/>
      </w:pPr>
      <w:r>
        <w:drawing>
          <wp:inline>
            <wp:extent cx="3733800" cy="2614237"/>
            <wp:effectExtent b="0" l="0" r="0" t="0"/>
            <wp:docPr descr="Рис. 6: Эпидемический порог модели SIR при \beta = 1, \nu = 0.3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45"/>
    <w:bookmarkEnd w:id="46"/>
    <w:bookmarkStart w:id="63" w:name="Xc74dd668ac23d6a60fba7c4075c313bf91fa0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Готовая модель SIR представлена на рис. 7.</w:t>
      </w:r>
    </w:p>
    <w:p>
      <w:pPr>
        <w:pStyle w:val="BodyText"/>
      </w:pPr>
      <w:r>
        <w:t xml:space="preserve">Для реализации модели SIR с помощью языка Modelica помимо блоков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MUX</w:t>
      </w:r>
      <w:r>
        <w:t xml:space="preserve"> </w:t>
      </w:r>
      <w:r>
        <w:t xml:space="preserve">требуются блоки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— задаёт константу;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 generic) — блок реализации кода на языке Modelica. Задаём значения</w:t>
      </w:r>
      <w:r>
        <w:t xml:space="preserve"> </w:t>
      </w:r>
      <w:r>
        <w:t xml:space="preserve">переменных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(рис. 1).</w:t>
      </w:r>
    </w:p>
    <w:bookmarkStart w:id="50" w:name="fig:007"/>
    <w:p>
      <w:pPr>
        <w:pStyle w:val="CaptionedFigure"/>
      </w:pPr>
      <w:r>
        <w:drawing>
          <wp:inline>
            <wp:extent cx="3733800" cy="2258274"/>
            <wp:effectExtent b="0" l="0" r="0" t="0"/>
            <wp:docPr descr="Рис. 7: Модель SIR в xcos с применением блока Modelica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Модель SIR в xcos с применением блока Modelica</w:t>
      </w:r>
    </w:p>
    <w:bookmarkEnd w:id="50"/>
    <w:p>
      <w:pPr>
        <w:pStyle w:val="BodyText"/>
      </w:pPr>
      <w:r>
        <w:t xml:space="preserve">Параметры блока Modelica представлены на рис. 8,9. Переменные на входе (</w:t>
      </w:r>
      <w:r>
        <w:t xml:space="preserve">“beta”</w:t>
      </w:r>
      <w:r>
        <w:t xml:space="preserve">,</w:t>
      </w:r>
      <w:r>
        <w:t xml:space="preserve"> </w:t>
      </w:r>
      <w:r>
        <w:t xml:space="preserve">“nu”</w:t>
      </w:r>
      <w:r>
        <w:t xml:space="preserve">) и выходе (</w:t>
      </w:r>
      <w:r>
        <w:t xml:space="preserve">“s”</w:t>
      </w:r>
      <w:r>
        <w:t xml:space="preserve">,</w:t>
      </w:r>
      <w:r>
        <w:t xml:space="preserve"> </w:t>
      </w:r>
      <w:r>
        <w:t xml:space="preserve">“i”</w:t>
      </w:r>
      <w:r>
        <w:t xml:space="preserve">,</w:t>
      </w:r>
      <w:r>
        <w:t xml:space="preserve"> </w:t>
      </w:r>
      <w:r>
        <w:t xml:space="preserve">“r”</w:t>
      </w:r>
      <w:r>
        <w:t xml:space="preserve">) блока заданы как внешние (</w:t>
      </w:r>
      <w:r>
        <w:t xml:space="preserve">“E”</w:t>
      </w:r>
      <w:r>
        <w:t xml:space="preserve">).</w:t>
      </w:r>
    </w:p>
    <w:bookmarkStart w:id="54" w:name="fig:008"/>
    <w:p>
      <w:pPr>
        <w:pStyle w:val="CaptionedFigure"/>
      </w:pPr>
      <w:r>
        <w:drawing>
          <wp:inline>
            <wp:extent cx="2843092" cy="2666359"/>
            <wp:effectExtent b="0" l="0" r="0" t="0"/>
            <wp:docPr descr="Рис. 8: Параметры блока Modelica для модели SIR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92" cy="266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Параметры блока Modelica для модели SIR</w:t>
      </w:r>
    </w:p>
    <w:bookmarkEnd w:id="54"/>
    <w:bookmarkStart w:id="58" w:name="fig:009"/>
    <w:p>
      <w:pPr>
        <w:pStyle w:val="CaptionedFigure"/>
      </w:pPr>
      <w:r>
        <w:drawing>
          <wp:inline>
            <wp:extent cx="3733800" cy="3357173"/>
            <wp:effectExtent b="0" l="0" r="0" t="0"/>
            <wp:docPr descr="Рис. 9: Параметры блока Modelica для модели SIR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7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Параметры блока Modelica для модели SIR</w:t>
      </w:r>
    </w:p>
    <w:bookmarkEnd w:id="58"/>
    <w:p>
      <w:pPr>
        <w:pStyle w:val="BodyText"/>
      </w:pPr>
      <w:r>
        <w:t xml:space="preserve">В результате получаем график (рис. 10), построенный с помощью блока Modelica идентичный графику (рис. 6), построенному без них.</w:t>
      </w:r>
    </w:p>
    <w:bookmarkStart w:id="62" w:name="fig:010"/>
    <w:p>
      <w:pPr>
        <w:pStyle w:val="CaptionedFigure"/>
      </w:pPr>
      <w:r>
        <w:drawing>
          <wp:inline>
            <wp:extent cx="3733800" cy="2637466"/>
            <wp:effectExtent b="0" l="0" r="0" t="0"/>
            <wp:docPr descr="Рис. 10: Эпидемический порог модели SIR при \beta = 1, \nu = 0.3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62"/>
    <w:bookmarkEnd w:id="63"/>
    <w:bookmarkStart w:id="72" w:name="упражнение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 качестве упражнения нам надо построить модель SIR на OpenModelica. Синтаксис почти такой же как и на Modelica. Нужно задать параметры, начальные значения и систему дифференциальных уравнений.</w:t>
      </w:r>
    </w:p>
    <w:p>
      <w:pPr>
        <w:pStyle w:val="SourceCode"/>
      </w:pPr>
      <w:r>
        <w:rPr>
          <w:rStyle w:val="VerbatimChar"/>
        </w:rPr>
        <w:t xml:space="preserve">  parameter Real I_0 = 0.001;</w:t>
      </w:r>
      <w:r>
        <w:br/>
      </w:r>
      <w:r>
        <w:rPr>
          <w:rStyle w:val="VerbatimChar"/>
        </w:rPr>
        <w:t xml:space="preserve">  parameter Real R_0 = 0;</w:t>
      </w:r>
      <w:r>
        <w:br/>
      </w:r>
      <w:r>
        <w:rPr>
          <w:rStyle w:val="VerbatimChar"/>
        </w:rPr>
        <w:t xml:space="preserve">  parameter Real S_0 = 0.999;</w:t>
      </w:r>
      <w:r>
        <w:br/>
      </w:r>
      <w:r>
        <w:rPr>
          <w:rStyle w:val="VerbatimChar"/>
        </w:rPr>
        <w:t xml:space="preserve">  parameter Real beta = 1;</w:t>
      </w:r>
      <w:r>
        <w:br/>
      </w:r>
      <w:r>
        <w:rPr>
          <w:rStyle w:val="VerbatimChar"/>
        </w:rPr>
        <w:t xml:space="preserve">  parameter Real nu = 0.3;</w:t>
      </w:r>
      <w:r>
        <w:br/>
      </w:r>
      <w:r>
        <w:rPr>
          <w:rStyle w:val="VerbatimChar"/>
        </w:rPr>
        <w:t xml:space="preserve">  parameter Real mu = 0.5;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s(start=S_0);</w:t>
      </w:r>
      <w:r>
        <w:br/>
      </w:r>
      <w:r>
        <w:rPr>
          <w:rStyle w:val="VerbatimChar"/>
        </w:rPr>
        <w:t xml:space="preserve">  Real i(start=I_0);</w:t>
      </w:r>
      <w:r>
        <w:br/>
      </w:r>
      <w:r>
        <w:rPr>
          <w:rStyle w:val="VerbatimChar"/>
        </w:rPr>
        <w:t xml:space="preserve">  Real r(start=R_0);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der(s)=-beta*s*i;</w:t>
      </w:r>
      <w:r>
        <w:br/>
      </w:r>
      <w:r>
        <w:rPr>
          <w:rStyle w:val="VerbatimChar"/>
        </w:rPr>
        <w:t xml:space="preserve">  der(i)=beta*s*i-nu*i;</w:t>
      </w:r>
      <w:r>
        <w:br/>
      </w:r>
      <w:r>
        <w:rPr>
          <w:rStyle w:val="VerbatimChar"/>
        </w:rPr>
        <w:t xml:space="preserve">  der(r)=nu*i;</w:t>
      </w:r>
    </w:p>
    <w:p>
      <w:pPr>
        <w:pStyle w:val="FirstParagraph"/>
      </w:pPr>
      <w:r>
        <w:t xml:space="preserve">Теперь выполним симуляции, задав конечное время 30 с (рис. 11).</w:t>
      </w:r>
    </w:p>
    <w:bookmarkStart w:id="67" w:name="fig:011"/>
    <w:p>
      <w:pPr>
        <w:pStyle w:val="CaptionedFigure"/>
      </w:pPr>
      <w:r>
        <w:drawing>
          <wp:inline>
            <wp:extent cx="3733800" cy="2403365"/>
            <wp:effectExtent b="0" l="0" r="0" t="0"/>
            <wp:docPr descr="Рис. 11: Установка симуляции в OpenModelica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симуляции в OpenModelica</w:t>
      </w:r>
    </w:p>
    <w:bookmarkEnd w:id="67"/>
    <w:p>
      <w:pPr>
        <w:pStyle w:val="BodyText"/>
      </w:pPr>
      <w:r>
        <w:t xml:space="preserve">В результате получаем следующий график (рис. 12). Он идентичен предыдущим графикам выполненным в</w:t>
      </w:r>
      <w:r>
        <w:t xml:space="preserve"> </w:t>
      </w:r>
      <w:r>
        <w:rPr>
          <w:i/>
          <w:iCs/>
        </w:rPr>
        <w:t xml:space="preserve">xcos</w:t>
      </w:r>
      <w:r>
        <w:t xml:space="preserve">.</w:t>
      </w:r>
    </w:p>
    <w:bookmarkStart w:id="71" w:name="fig:012"/>
    <w:p>
      <w:pPr>
        <w:pStyle w:val="CaptionedFigure"/>
      </w:pPr>
      <w:r>
        <w:drawing>
          <wp:inline>
            <wp:extent cx="3733800" cy="1589072"/>
            <wp:effectExtent b="0" l="0" r="0" t="0"/>
            <wp:docPr descr="Рис. 12: Эпидемический порог модели SIR при \beta = 1, \nu = 0.3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71"/>
    <w:bookmarkEnd w:id="72"/>
    <w:bookmarkStart w:id="124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Предположим, что в модели SIR учитываются демографические процессы, в частности, что смертность</w:t>
      </w:r>
      <w:r>
        <w:t xml:space="preserve"> </w:t>
      </w:r>
      <w:r>
        <w:t xml:space="preserve">в популяции полностью уравновешивает рождаемость, а все рожденные индивидуумы появляются на свет абсолютно здоровыми. Тогда получим следующую систему</w:t>
      </w:r>
      <w:r>
        <w:t xml:space="preserve"> </w:t>
      </w:r>
      <w:r>
        <w:t xml:space="preserve">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константа, которая равна коэффициенту смертности и рождаемости.</w:t>
      </w:r>
    </w:p>
    <w:p>
      <w:pPr>
        <w:pStyle w:val="BodyText"/>
      </w:pPr>
      <w:r>
        <w:t xml:space="preserve">Реализуем эту модель в</w:t>
      </w:r>
      <w:r>
        <w:t xml:space="preserve"> </w:t>
      </w:r>
      <w:r>
        <w:rPr>
          <w:i/>
          <w:iCs/>
        </w:rPr>
        <w:t xml:space="preserve">xcos</w:t>
      </w:r>
      <w:r>
        <w:t xml:space="preserve">. Тут нам понадобятся три блока суммирования и 4 блока констант (добавляется константа</w:t>
      </w:r>
      <w:r>
        <w:t xml:space="preserve"> </w:t>
      </w:r>
      <m:oMath>
        <m:r>
          <m:t>ν</m:t>
        </m:r>
      </m:oMath>
      <w:r>
        <w:t xml:space="preserve">).</w:t>
      </w:r>
    </w:p>
    <w:bookmarkStart w:id="76" w:name="fig:013"/>
    <w:p>
      <w:pPr>
        <w:pStyle w:val="CaptionedFigure"/>
      </w:pPr>
      <w:r>
        <w:drawing>
          <wp:inline>
            <wp:extent cx="3733800" cy="2689163"/>
            <wp:effectExtent b="0" l="0" r="0" t="0"/>
            <wp:docPr descr="Рис. 13: Модель SIR с учетом демографических процессов в xcos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Модель SIR с учетом демографических процессов в xcos</w:t>
      </w:r>
    </w:p>
    <w:bookmarkEnd w:id="76"/>
    <w:p>
      <w:pPr>
        <w:pStyle w:val="BodyText"/>
      </w:pPr>
      <w:r>
        <w:t xml:space="preserve">В результате получаем следующий график (рис. 14).</w:t>
      </w:r>
    </w:p>
    <w:bookmarkStart w:id="80" w:name="fig:014"/>
    <w:p>
      <w:pPr>
        <w:pStyle w:val="CaptionedFigure"/>
      </w:pPr>
      <w:r>
        <w:drawing>
          <wp:inline>
            <wp:extent cx="3733800" cy="2440845"/>
            <wp:effectExtent b="0" l="0" r="0" t="0"/>
            <wp:docPr descr="Рис. 14: График модели SIR с учетом демографических процессов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График модели SIR с учетом демографических процессов</w:t>
      </w:r>
    </w:p>
    <w:bookmarkEnd w:id="80"/>
    <w:p>
      <w:pPr>
        <w:pStyle w:val="BodyText"/>
      </w:pPr>
      <w:r>
        <w:t xml:space="preserve">Теперь реализуем модель SIR с учетом демографических процессов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с помощью блоков Modelica (рис. 15).</w:t>
      </w:r>
    </w:p>
    <w:bookmarkStart w:id="84" w:name="fig:015"/>
    <w:p>
      <w:pPr>
        <w:pStyle w:val="CaptionedFigure"/>
      </w:pPr>
      <w:r>
        <w:drawing>
          <wp:inline>
            <wp:extent cx="3733800" cy="2649415"/>
            <wp:effectExtent b="0" l="0" r="0" t="0"/>
            <wp:docPr descr="Рис. 15: Модель SIR с учетом демографических процессов в xcos с применением блока Modelica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Модель SIR с учетом демографических процессов в xcos с применением блока Modelica</w:t>
      </w:r>
    </w:p>
    <w:bookmarkEnd w:id="84"/>
    <w:p>
      <w:pPr>
        <w:pStyle w:val="BodyText"/>
      </w:pPr>
      <w:r>
        <w:t xml:space="preserve">Параметры блока Modelica представлены на рис. 16,17. Переменные на входе (</w:t>
      </w:r>
      <w:r>
        <w:t xml:space="preserve">“beta”</w:t>
      </w:r>
      <w:r>
        <w:t xml:space="preserve">,</w:t>
      </w:r>
      <w:r>
        <w:t xml:space="preserve"> </w:t>
      </w:r>
      <w:r>
        <w:t xml:space="preserve">“nu”</w:t>
      </w:r>
      <w:r>
        <w:t xml:space="preserve">,</w:t>
      </w:r>
      <w:r>
        <w:t xml:space="preserve"> </w:t>
      </w:r>
      <w:r>
        <w:t xml:space="preserve">“mu”</w:t>
      </w:r>
      <w:r>
        <w:t xml:space="preserve"> </w:t>
      </w:r>
      <w:r>
        <w:t xml:space="preserve">) и выходе (</w:t>
      </w:r>
      <w:r>
        <w:t xml:space="preserve">“s”</w:t>
      </w:r>
      <w:r>
        <w:t xml:space="preserve">,</w:t>
      </w:r>
      <w:r>
        <w:t xml:space="preserve"> </w:t>
      </w:r>
      <w:r>
        <w:t xml:space="preserve">“i”</w:t>
      </w:r>
      <w:r>
        <w:t xml:space="preserve">,</w:t>
      </w:r>
      <w:r>
        <w:t xml:space="preserve"> </w:t>
      </w:r>
      <w:r>
        <w:t xml:space="preserve">“r”</w:t>
      </w:r>
      <w:r>
        <w:t xml:space="preserve">) блока заданы как внешние (</w:t>
      </w:r>
      <w:r>
        <w:t xml:space="preserve">“E”</w:t>
      </w:r>
      <w:r>
        <w:t xml:space="preserve">).</w:t>
      </w:r>
    </w:p>
    <w:bookmarkStart w:id="88" w:name="fig:016"/>
    <w:p>
      <w:pPr>
        <w:pStyle w:val="CaptionedFigure"/>
      </w:pPr>
      <w:r>
        <w:drawing>
          <wp:inline>
            <wp:extent cx="2843092" cy="2658675"/>
            <wp:effectExtent b="0" l="0" r="0" t="0"/>
            <wp:docPr descr="Рис. 16: Параметры блока Modelica для модели SIR с учетом демографических процессов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92" cy="26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Параметры блока Modelica для модели SIR с учетом демографических процессов</w:t>
      </w:r>
    </w:p>
    <w:bookmarkEnd w:id="88"/>
    <w:bookmarkStart w:id="92" w:name="fig:017"/>
    <w:p>
      <w:pPr>
        <w:pStyle w:val="CaptionedFigure"/>
      </w:pPr>
      <w:r>
        <w:drawing>
          <wp:inline>
            <wp:extent cx="2942984" cy="2942984"/>
            <wp:effectExtent b="0" l="0" r="0" t="0"/>
            <wp:docPr descr="Рис. 17: Параметры блока Modelica для модели SIR с учетом демографических процессов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294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Параметры блока Modelica для модели SIR с учетом демографических процессов</w:t>
      </w:r>
    </w:p>
    <w:bookmarkEnd w:id="92"/>
    <w:p>
      <w:pPr>
        <w:pStyle w:val="BodyText"/>
      </w:pPr>
      <w:r>
        <w:t xml:space="preserve">В результате получаем следующий график (рис. 18).</w:t>
      </w:r>
    </w:p>
    <w:bookmarkStart w:id="96" w:name="fig:018"/>
    <w:p>
      <w:pPr>
        <w:pStyle w:val="CaptionedFigure"/>
      </w:pPr>
      <w:r>
        <w:drawing>
          <wp:inline>
            <wp:extent cx="3733800" cy="2769026"/>
            <wp:effectExtent b="0" l="0" r="0" t="0"/>
            <wp:docPr descr="Рис. 18: График модели SIR с учетом демографических процессов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График модели SIR с учетом демографических процессов</w:t>
      </w:r>
    </w:p>
    <w:bookmarkEnd w:id="96"/>
    <w:p>
      <w:pPr>
        <w:pStyle w:val="BodyText"/>
      </w:pPr>
      <w:r>
        <w:t xml:space="preserve">Реализуем модель SIR с учетом демографических процессов на OpenModelica.</w:t>
      </w:r>
    </w:p>
    <w:p>
      <w:pPr>
        <w:pStyle w:val="SourceCode"/>
      </w:pPr>
      <w:r>
        <w:rPr>
          <w:rStyle w:val="VerbatimChar"/>
        </w:rPr>
        <w:t xml:space="preserve">  parameter Real I_0 = 0.001;</w:t>
      </w:r>
      <w:r>
        <w:br/>
      </w:r>
      <w:r>
        <w:rPr>
          <w:rStyle w:val="VerbatimChar"/>
        </w:rPr>
        <w:t xml:space="preserve">  parameter Real R_0 = 0;</w:t>
      </w:r>
      <w:r>
        <w:br/>
      </w:r>
      <w:r>
        <w:rPr>
          <w:rStyle w:val="VerbatimChar"/>
        </w:rPr>
        <w:t xml:space="preserve">  parameter Real S_0 = 0.999;</w:t>
      </w:r>
      <w:r>
        <w:br/>
      </w:r>
      <w:r>
        <w:rPr>
          <w:rStyle w:val="VerbatimChar"/>
        </w:rPr>
        <w:t xml:space="preserve">  parameter Real N = 1;</w:t>
      </w:r>
      <w:r>
        <w:br/>
      </w:r>
      <w:r>
        <w:rPr>
          <w:rStyle w:val="VerbatimChar"/>
        </w:rPr>
        <w:t xml:space="preserve">  parameter Real beta = 1;</w:t>
      </w:r>
      <w:r>
        <w:br/>
      </w:r>
      <w:r>
        <w:rPr>
          <w:rStyle w:val="VerbatimChar"/>
        </w:rPr>
        <w:t xml:space="preserve">  parameter Real nu = 0.3;</w:t>
      </w:r>
      <w:r>
        <w:br/>
      </w:r>
      <w:r>
        <w:rPr>
          <w:rStyle w:val="VerbatimChar"/>
        </w:rPr>
        <w:t xml:space="preserve">  parameter Real mu = 0.5;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s(start=S_0);</w:t>
      </w:r>
      <w:r>
        <w:br/>
      </w:r>
      <w:r>
        <w:rPr>
          <w:rStyle w:val="VerbatimChar"/>
        </w:rPr>
        <w:t xml:space="preserve">  Real i(start=I_0);</w:t>
      </w:r>
      <w:r>
        <w:br/>
      </w:r>
      <w:r>
        <w:rPr>
          <w:rStyle w:val="VerbatimChar"/>
        </w:rPr>
        <w:t xml:space="preserve">  Real r(start=R_0);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der(s)=-beta*s*i + mu*i + mu*r;</w:t>
      </w:r>
      <w:r>
        <w:br/>
      </w:r>
      <w:r>
        <w:rPr>
          <w:rStyle w:val="VerbatimChar"/>
        </w:rPr>
        <w:t xml:space="preserve">  der(i)=beta*s*i-nu*i - mu*i;</w:t>
      </w:r>
      <w:r>
        <w:br/>
      </w:r>
      <w:r>
        <w:rPr>
          <w:rStyle w:val="VerbatimChar"/>
        </w:rPr>
        <w:t xml:space="preserve">  der(r)=nu*i - mu*r;</w:t>
      </w:r>
    </w:p>
    <w:p>
      <w:pPr>
        <w:pStyle w:val="FirstParagraph"/>
      </w:pPr>
      <w:r>
        <w:t xml:space="preserve">Выполнив симуляцию, получим следующий график (рис. 19).</w:t>
      </w:r>
    </w:p>
    <w:bookmarkStart w:id="100" w:name="fig:019"/>
    <w:p>
      <w:pPr>
        <w:pStyle w:val="CaptionedFigure"/>
      </w:pPr>
      <w:r>
        <w:drawing>
          <wp:inline>
            <wp:extent cx="3733800" cy="1415790"/>
            <wp:effectExtent b="0" l="0" r="0" t="0"/>
            <wp:docPr descr="Рис. 19: График модели SIR с учетом демографических процессов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График модели SIR с учетом демографических процессов</w:t>
      </w:r>
    </w:p>
    <w:bookmarkEnd w:id="100"/>
    <w:p>
      <w:pPr>
        <w:pStyle w:val="BodyText"/>
      </w:pPr>
      <w:r>
        <w:t xml:space="preserve">Теперь построим графики при разных значениях параметров.</w:t>
      </w:r>
    </w:p>
    <w:p>
      <w:pPr>
        <w:pStyle w:val="Compact"/>
        <w:numPr>
          <w:ilvl w:val="0"/>
          <w:numId w:val="1003"/>
        </w:numPr>
      </w:pP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</w:p>
    <w:p>
      <w:pPr>
        <w:pStyle w:val="Compact"/>
        <w:numPr>
          <w:ilvl w:val="0"/>
          <w:numId w:val="1004"/>
        </w:numPr>
      </w:pPr>
      <m:oMath>
        <m:r>
          <m:t>μ</m:t>
        </m:r>
        <m:r>
          <m:rPr>
            <m:sty m:val="p"/>
          </m:rPr>
          <m:t>=</m:t>
        </m:r>
        <m:r>
          <m:t>0.1</m:t>
        </m:r>
      </m:oMath>
    </w:p>
    <w:bookmarkStart w:id="103" w:name="fig:020"/>
    <w:p>
      <w:pPr>
        <w:pStyle w:val="CaptionedFigure"/>
      </w:pPr>
      <w:r>
        <w:drawing>
          <wp:inline>
            <wp:extent cx="3733800" cy="1415790"/>
            <wp:effectExtent b="0" l="0" r="0" t="0"/>
            <wp:docPr descr="Рис. 20: График модели SIR с учетом демографических процессов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График модели SIR с учетом демографических процессов</w:t>
      </w:r>
    </w:p>
    <w:bookmarkEnd w:id="103"/>
    <w:p>
      <w:pPr>
        <w:pStyle w:val="Compact"/>
        <w:numPr>
          <w:ilvl w:val="0"/>
          <w:numId w:val="1005"/>
        </w:numPr>
      </w:pPr>
      <m:oMath>
        <m:r>
          <m:t>μ</m:t>
        </m:r>
        <m:r>
          <m:rPr>
            <m:sty m:val="p"/>
          </m:rPr>
          <m:t>=</m:t>
        </m:r>
        <m:r>
          <m:t>0.3</m:t>
        </m:r>
      </m:oMath>
    </w:p>
    <w:bookmarkStart w:id="107" w:name="fig:021"/>
    <w:p>
      <w:pPr>
        <w:pStyle w:val="CaptionedFigure"/>
      </w:pPr>
      <w:r>
        <w:drawing>
          <wp:inline>
            <wp:extent cx="3733800" cy="2592215"/>
            <wp:effectExtent b="0" l="0" r="0" t="0"/>
            <wp:docPr descr="Рис. 21: График модели SIR с учетом демографических процессов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График модели SIR с учетом демографических процессов</w:t>
      </w:r>
    </w:p>
    <w:bookmarkEnd w:id="107"/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=</m:t>
        </m:r>
        <m:r>
          <m:t>0.9</m:t>
        </m:r>
      </m:oMath>
    </w:p>
    <w:bookmarkStart w:id="111" w:name="fig:022"/>
    <w:p>
      <w:pPr>
        <w:pStyle w:val="CaptionedFigure"/>
      </w:pPr>
      <w:r>
        <w:drawing>
          <wp:inline>
            <wp:extent cx="3733800" cy="2491302"/>
            <wp:effectExtent b="0" l="0" r="0" t="0"/>
            <wp:docPr descr="Рис. 22: График модели SIR с учетом демографических процессов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График модели SIR с учетом демографических процессов</w:t>
      </w:r>
    </w:p>
    <w:bookmarkEnd w:id="111"/>
    <w:p>
      <w:pPr>
        <w:pStyle w:val="Compact"/>
        <w:numPr>
          <w:ilvl w:val="0"/>
          <w:numId w:val="1007"/>
        </w:numPr>
      </w:pP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0.1</m:t>
        </m:r>
      </m:oMath>
    </w:p>
    <w:p>
      <w:pPr>
        <w:pStyle w:val="Compact"/>
        <w:numPr>
          <w:ilvl w:val="0"/>
          <w:numId w:val="1008"/>
        </w:numPr>
      </w:pPr>
      <m:oMath>
        <m:r>
          <m:t>μ</m:t>
        </m:r>
        <m:r>
          <m:rPr>
            <m:sty m:val="p"/>
          </m:rPr>
          <m:t>=</m:t>
        </m:r>
        <m:r>
          <m:t>0.1</m:t>
        </m:r>
      </m:oMath>
    </w:p>
    <w:bookmarkStart w:id="115" w:name="fig:023"/>
    <w:p>
      <w:pPr>
        <w:pStyle w:val="CaptionedFigure"/>
      </w:pPr>
      <w:r>
        <w:drawing>
          <wp:inline>
            <wp:extent cx="3733800" cy="2491302"/>
            <wp:effectExtent b="0" l="0" r="0" t="0"/>
            <wp:docPr descr="Рис. 23: График модели SIR с учетом демографических процессов" title="" id="113" name="Picture"/>
            <a:graphic>
              <a:graphicData uri="http://schemas.openxmlformats.org/drawingml/2006/picture">
                <pic:pic>
                  <pic:nvPicPr>
                    <pic:cNvPr descr="image/2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График модели SIR с учетом демографических процессов</w:t>
      </w:r>
    </w:p>
    <w:bookmarkEnd w:id="115"/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=</m:t>
        </m:r>
        <m:r>
          <m:t>0.9</m:t>
        </m:r>
      </m:oMath>
    </w:p>
    <w:bookmarkStart w:id="119" w:name="fig:024"/>
    <w:p>
      <w:pPr>
        <w:pStyle w:val="CaptionedFigure"/>
      </w:pPr>
      <w:r>
        <w:drawing>
          <wp:inline>
            <wp:extent cx="3733800" cy="2476691"/>
            <wp:effectExtent b="0" l="0" r="0" t="0"/>
            <wp:docPr descr="Рис. 24: График модели SIR с учетом демографических процессов" title="" id="117" name="Picture"/>
            <a:graphic>
              <a:graphicData uri="http://schemas.openxmlformats.org/drawingml/2006/picture">
                <pic:pic>
                  <pic:nvPicPr>
                    <pic:cNvPr descr="image/2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График модели SIR с учетом демографических процессов</w:t>
      </w:r>
    </w:p>
    <w:bookmarkEnd w:id="119"/>
    <w:p>
      <w:pPr>
        <w:pStyle w:val="Compact"/>
        <w:numPr>
          <w:ilvl w:val="0"/>
          <w:numId w:val="1010"/>
        </w:numPr>
      </w:pPr>
      <m:oMath>
        <m:r>
          <m:t>β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r>
          <m:t>0.2</m:t>
        </m:r>
      </m:oMath>
    </w:p>
    <w:bookmarkStart w:id="123" w:name="fig:025"/>
    <w:p>
      <w:pPr>
        <w:pStyle w:val="CaptionedFigure"/>
      </w:pPr>
      <w:r>
        <w:drawing>
          <wp:inline>
            <wp:extent cx="3733800" cy="2441569"/>
            <wp:effectExtent b="0" l="0" r="0" t="0"/>
            <wp:docPr descr="Рис. 25: График модели SIR с учетом демографических процессов" title="" id="121" name="Picture"/>
            <a:graphic>
              <a:graphicData uri="http://schemas.openxmlformats.org/drawingml/2006/picture">
                <pic:pic>
                  <pic:nvPicPr>
                    <pic:cNvPr descr="image/2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График модели SIR с учетом демографических процессов</w:t>
      </w:r>
    </w:p>
    <w:bookmarkEnd w:id="123"/>
    <w:p>
      <w:pPr>
        <w:pStyle w:val="BodyText"/>
      </w:pPr>
      <w:r>
        <w:t xml:space="preserve">Исходя из анализа графиков, можно сделать вывод, что чем выше значение любого из параметров, тем быстрее система достигает стационарного</w:t>
      </w:r>
      <w:r>
        <w:t xml:space="preserve"> </w:t>
      </w:r>
      <w:r>
        <w:t xml:space="preserve">состояния. При высоком коэффициенте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система быстро проходит через пик развития эпидемии и достигает стационарного состояния.</w:t>
      </w:r>
    </w:p>
    <w:bookmarkEnd w:id="124"/>
    <w:bookmarkEnd w:id="125"/>
    <w:bookmarkStart w:id="12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была построена модель SIR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и OpenModelica.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НВЕ МАНГЕ ХОСЕ ХЕРСОН МИКО. НКНбд-01-22</dc:creator>
  <dc:language>ru-RU</dc:language>
  <cp:keywords/>
  <dcterms:created xsi:type="dcterms:W3CDTF">2025-04-11T09:52:50Z</dcterms:created>
  <dcterms:modified xsi:type="dcterms:W3CDTF">2025-04-11T09:52:50Z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эпидемии (SIR)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